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431A9820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872931">
        <w:rPr>
          <w:rFonts w:ascii="Arial" w:hAnsi="Arial"/>
          <w:bCs w:val="0"/>
          <w:color w:val="000000"/>
          <w:szCs w:val="22"/>
        </w:rPr>
        <w:t>6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C9750E">
        <w:rPr>
          <w:rFonts w:ascii="Arial" w:hAnsi="Arial"/>
          <w:bCs w:val="0"/>
          <w:color w:val="000000"/>
          <w:szCs w:val="22"/>
        </w:rPr>
        <w:t>Dezember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5726C59" w14:textId="2D8391FD" w:rsidR="00C90EC3" w:rsidRPr="00276E3F" w:rsidRDefault="00C90EC3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 w:rsidRPr="00276E3F">
        <w:rPr>
          <w:rFonts w:ascii="Square721 BT" w:hAnsi="Square721 BT"/>
          <w:b/>
          <w:sz w:val="30"/>
        </w:rPr>
        <w:t>Individualität auf Nummer sicher:</w:t>
      </w:r>
      <w:r w:rsidR="00276E3F" w:rsidRPr="00276E3F">
        <w:rPr>
          <w:rFonts w:ascii="Square721 BT" w:hAnsi="Square721 BT"/>
          <w:b/>
          <w:sz w:val="30"/>
        </w:rPr>
        <w:br/>
      </w:r>
      <w:r w:rsidRPr="00276E3F">
        <w:rPr>
          <w:rFonts w:ascii="Square721 BT" w:hAnsi="Square721 BT"/>
          <w:b/>
          <w:sz w:val="30"/>
        </w:rPr>
        <w:t xml:space="preserve">TECHART weitet </w:t>
      </w:r>
      <w:r w:rsidR="00462269">
        <w:rPr>
          <w:rFonts w:ascii="Square721 BT" w:hAnsi="Square721 BT"/>
          <w:b/>
          <w:sz w:val="30"/>
        </w:rPr>
        <w:t>seine</w:t>
      </w:r>
      <w:r w:rsidRPr="00276E3F">
        <w:rPr>
          <w:rFonts w:ascii="Square721 BT" w:hAnsi="Square721 BT"/>
          <w:b/>
          <w:sz w:val="30"/>
        </w:rPr>
        <w:t xml:space="preserve"> Vollgarantie </w:t>
      </w:r>
      <w:r w:rsidR="00152288" w:rsidRPr="00276E3F">
        <w:rPr>
          <w:rFonts w:ascii="Square721 BT" w:hAnsi="Square721 BT"/>
          <w:b/>
          <w:sz w:val="30"/>
        </w:rPr>
        <w:t xml:space="preserve">für Porsche Neu- und Gebrauchtfahrzeuge </w:t>
      </w:r>
      <w:r w:rsidRPr="00276E3F">
        <w:rPr>
          <w:rFonts w:ascii="Square721 BT" w:hAnsi="Square721 BT"/>
          <w:b/>
          <w:sz w:val="30"/>
        </w:rPr>
        <w:t>international aus.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25710C16" w14:textId="114D79B2" w:rsidR="00C90EC3" w:rsidRPr="005D5B15" w:rsidRDefault="00462269" w:rsidP="006417C1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5D5B15">
        <w:rPr>
          <w:rFonts w:ascii="Square721 BT" w:hAnsi="Square721 BT"/>
          <w:b/>
          <w:sz w:val="24"/>
          <w:szCs w:val="24"/>
        </w:rPr>
        <w:t>Für so manchen Besitzer eines Porsche Fahrzeugs geht d</w:t>
      </w:r>
      <w:r w:rsidR="00C90EC3" w:rsidRPr="005D5B15">
        <w:rPr>
          <w:rFonts w:ascii="Square721 BT" w:hAnsi="Square721 BT"/>
          <w:b/>
          <w:sz w:val="24"/>
          <w:szCs w:val="24"/>
        </w:rPr>
        <w:t xml:space="preserve">er Wunsch nach mehr Individualität mit </w:t>
      </w:r>
      <w:r w:rsidR="00B43951">
        <w:rPr>
          <w:rFonts w:ascii="Square721 BT" w:hAnsi="Square721 BT"/>
          <w:b/>
          <w:sz w:val="24"/>
          <w:szCs w:val="24"/>
        </w:rPr>
        <w:t>Unsicherheit</w:t>
      </w:r>
      <w:r w:rsidR="00CD6B6B" w:rsidRPr="005D5B15">
        <w:rPr>
          <w:rFonts w:ascii="Square721 BT" w:hAnsi="Square721 BT"/>
          <w:b/>
          <w:sz w:val="24"/>
          <w:szCs w:val="24"/>
        </w:rPr>
        <w:t xml:space="preserve"> einher</w:t>
      </w:r>
      <w:r w:rsidR="00C90EC3" w:rsidRPr="005D5B15">
        <w:rPr>
          <w:rFonts w:ascii="Square721 BT" w:hAnsi="Square721 BT"/>
          <w:b/>
          <w:sz w:val="24"/>
          <w:szCs w:val="24"/>
        </w:rPr>
        <w:t xml:space="preserve">: </w:t>
      </w:r>
      <w:r w:rsidRPr="005D5B15">
        <w:rPr>
          <w:rFonts w:ascii="Square721 BT" w:hAnsi="Square721 BT"/>
          <w:b/>
          <w:sz w:val="24"/>
          <w:szCs w:val="24"/>
        </w:rPr>
        <w:t>„</w:t>
      </w:r>
      <w:r w:rsidR="00C90EC3" w:rsidRPr="005D5B15">
        <w:rPr>
          <w:rFonts w:ascii="Square721 BT" w:hAnsi="Square721 BT"/>
          <w:b/>
          <w:sz w:val="24"/>
          <w:szCs w:val="24"/>
        </w:rPr>
        <w:t>Beeinträchtigt TECHART Individualisierung die Gewährleistung</w:t>
      </w:r>
      <w:r w:rsidR="00CD6B6B" w:rsidRPr="005D5B15">
        <w:rPr>
          <w:rFonts w:ascii="Square721 BT" w:hAnsi="Square721 BT"/>
          <w:b/>
          <w:sz w:val="24"/>
          <w:szCs w:val="24"/>
        </w:rPr>
        <w:t xml:space="preserve"> meines Fahrzeugs</w:t>
      </w:r>
      <w:r w:rsidR="00C90EC3" w:rsidRPr="005D5B15">
        <w:rPr>
          <w:rFonts w:ascii="Square721 BT" w:hAnsi="Square721 BT"/>
          <w:b/>
          <w:sz w:val="24"/>
          <w:szCs w:val="24"/>
        </w:rPr>
        <w:t>?</w:t>
      </w:r>
      <w:r w:rsidRPr="005D5B15">
        <w:rPr>
          <w:rFonts w:ascii="Square721 BT" w:hAnsi="Square721 BT"/>
          <w:b/>
          <w:sz w:val="24"/>
          <w:szCs w:val="24"/>
        </w:rPr>
        <w:t xml:space="preserve"> </w:t>
      </w:r>
      <w:r w:rsidR="00CD6B6B" w:rsidRPr="005D5B15">
        <w:rPr>
          <w:rFonts w:ascii="Square721 BT" w:hAnsi="Square721 BT"/>
          <w:b/>
          <w:sz w:val="24"/>
          <w:szCs w:val="24"/>
        </w:rPr>
        <w:t>W</w:t>
      </w:r>
      <w:r w:rsidR="00C90EC3" w:rsidRPr="005D5B15">
        <w:rPr>
          <w:rFonts w:ascii="Square721 BT" w:hAnsi="Square721 BT"/>
          <w:b/>
          <w:sz w:val="24"/>
          <w:szCs w:val="24"/>
        </w:rPr>
        <w:t xml:space="preserve">as </w:t>
      </w:r>
      <w:r w:rsidR="009C7519" w:rsidRPr="005D5B15">
        <w:rPr>
          <w:rFonts w:ascii="Square721 BT" w:hAnsi="Square721 BT"/>
          <w:b/>
          <w:sz w:val="24"/>
          <w:szCs w:val="24"/>
        </w:rPr>
        <w:t xml:space="preserve">geschieht mit </w:t>
      </w:r>
      <w:r w:rsidR="00B43951">
        <w:rPr>
          <w:rFonts w:ascii="Square721 BT" w:hAnsi="Square721 BT"/>
          <w:b/>
          <w:sz w:val="24"/>
          <w:szCs w:val="24"/>
        </w:rPr>
        <w:t>meiner</w:t>
      </w:r>
      <w:r w:rsidR="00CD6B6B" w:rsidRPr="005D5B15">
        <w:rPr>
          <w:rFonts w:ascii="Square721 BT" w:hAnsi="Square721 BT"/>
          <w:b/>
          <w:sz w:val="24"/>
          <w:szCs w:val="24"/>
        </w:rPr>
        <w:t xml:space="preserve"> N</w:t>
      </w:r>
      <w:bookmarkStart w:id="0" w:name="_GoBack"/>
      <w:bookmarkEnd w:id="0"/>
      <w:r w:rsidR="00CD6B6B" w:rsidRPr="005D5B15">
        <w:rPr>
          <w:rFonts w:ascii="Square721 BT" w:hAnsi="Square721 BT"/>
          <w:b/>
          <w:sz w:val="24"/>
          <w:szCs w:val="24"/>
        </w:rPr>
        <w:t>eu</w:t>
      </w:r>
      <w:r w:rsidR="00B43951">
        <w:rPr>
          <w:rFonts w:ascii="Square721 BT" w:hAnsi="Square721 BT"/>
          <w:b/>
          <w:sz w:val="24"/>
          <w:szCs w:val="24"/>
        </w:rPr>
        <w:t>- oder Gebraucht</w:t>
      </w:r>
      <w:r w:rsidR="009C7519" w:rsidRPr="005D5B15">
        <w:rPr>
          <w:rFonts w:ascii="Square721 BT" w:hAnsi="Square721 BT"/>
          <w:b/>
          <w:sz w:val="24"/>
          <w:szCs w:val="24"/>
        </w:rPr>
        <w:t>wagen</w:t>
      </w:r>
      <w:r w:rsidR="00CD6B6B" w:rsidRPr="005D5B15">
        <w:rPr>
          <w:rFonts w:ascii="Square721 BT" w:hAnsi="Square721 BT"/>
          <w:b/>
          <w:sz w:val="24"/>
          <w:szCs w:val="24"/>
        </w:rPr>
        <w:t>garantie</w:t>
      </w:r>
      <w:r w:rsidR="009C7519" w:rsidRPr="005D5B15">
        <w:rPr>
          <w:rFonts w:ascii="Square721 BT" w:hAnsi="Square721 BT"/>
          <w:b/>
          <w:sz w:val="24"/>
          <w:szCs w:val="24"/>
        </w:rPr>
        <w:t>?</w:t>
      </w:r>
      <w:r w:rsidR="00E01EB6" w:rsidRPr="005D5B15">
        <w:rPr>
          <w:rFonts w:ascii="Square721 BT" w:hAnsi="Square721 BT"/>
          <w:b/>
          <w:sz w:val="24"/>
          <w:szCs w:val="24"/>
        </w:rPr>
        <w:t>“</w:t>
      </w:r>
      <w:r w:rsidR="005D5B15">
        <w:rPr>
          <w:rFonts w:ascii="Square721 BT" w:hAnsi="Square721 BT"/>
          <w:b/>
          <w:sz w:val="24"/>
          <w:szCs w:val="24"/>
        </w:rPr>
        <w:t>.</w:t>
      </w:r>
    </w:p>
    <w:p w14:paraId="20FAFFA4" w14:textId="582DFE35" w:rsidR="00CD6B6B" w:rsidRPr="00E01EB6" w:rsidRDefault="00CD6B6B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4F38BF62" w14:textId="627CE0A5" w:rsidR="00E01EB6" w:rsidRPr="00467C93" w:rsidRDefault="00E01EB6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  <w:r w:rsidRPr="00467C9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Per se kein Verlust </w:t>
      </w:r>
      <w:r w:rsidR="002803C4" w:rsidRPr="00467C9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der</w:t>
      </w:r>
      <w:r w:rsidRPr="00467C9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 Gewährleistung</w:t>
      </w:r>
      <w:r w:rsidR="005D5B15" w:rsidRPr="00467C9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.</w:t>
      </w:r>
    </w:p>
    <w:p w14:paraId="2613850F" w14:textId="77777777" w:rsidR="00E01EB6" w:rsidRPr="00B04B21" w:rsidRDefault="00E01EB6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de-DE"/>
        </w:rPr>
      </w:pPr>
    </w:p>
    <w:p w14:paraId="0D6A6E12" w14:textId="6BC2F5BA" w:rsidR="004A63F6" w:rsidRPr="00467C93" w:rsidRDefault="00CD6B6B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467C93">
        <w:rPr>
          <w:rFonts w:ascii="Arial" w:hAnsi="Arial" w:cs="Arial"/>
          <w:color w:val="auto"/>
          <w:sz w:val="20"/>
          <w:szCs w:val="22"/>
          <w:lang w:val="de-DE"/>
        </w:rPr>
        <w:t>Da</w:t>
      </w:r>
      <w:r w:rsidR="00276E3F" w:rsidRPr="00467C93">
        <w:rPr>
          <w:rFonts w:ascii="Arial" w:hAnsi="Arial" w:cs="Arial"/>
          <w:color w:val="auto"/>
          <w:sz w:val="20"/>
          <w:szCs w:val="22"/>
          <w:lang w:val="de-DE"/>
        </w:rPr>
        <w:t>s</w:t>
      </w:r>
      <w:r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s TECHART Individualisierung per se keinen Verlust der Mängelgewährleistung </w:t>
      </w:r>
      <w:r w:rsidR="00B43951"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des Fahrzeugs </w:t>
      </w:r>
      <w:r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nach sich zieht, ist vielen Porsche Besitzern bekannt. </w:t>
      </w:r>
    </w:p>
    <w:p w14:paraId="5467C616" w14:textId="77777777" w:rsidR="004A63F6" w:rsidRPr="00467C93" w:rsidRDefault="004A63F6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14:paraId="777E29F7" w14:textId="237D6D35" w:rsidR="00CD6B6B" w:rsidRPr="005D5B15" w:rsidRDefault="00915825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467C93">
        <w:rPr>
          <w:rFonts w:ascii="Arial" w:hAnsi="Arial" w:cs="Arial"/>
          <w:color w:val="auto"/>
          <w:sz w:val="20"/>
          <w:szCs w:val="22"/>
          <w:lang w:val="de-DE"/>
        </w:rPr>
        <w:t>TECHART PROTECT, die Neu- und Gebrauchtfahrzeuggarantie speziell für individualisierte Fahrzeuge</w:t>
      </w:r>
      <w:r w:rsidR="00D929D9" w:rsidRPr="00467C93">
        <w:rPr>
          <w:rFonts w:ascii="Arial" w:hAnsi="Arial" w:cs="Arial"/>
          <w:color w:val="auto"/>
          <w:sz w:val="20"/>
          <w:szCs w:val="22"/>
          <w:lang w:val="de-DE"/>
        </w:rPr>
        <w:t>,</w:t>
      </w:r>
      <w:r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A11860" w:rsidRPr="00467C93">
        <w:rPr>
          <w:rFonts w:ascii="Arial" w:hAnsi="Arial" w:cs="Arial"/>
          <w:color w:val="auto"/>
          <w:sz w:val="20"/>
          <w:szCs w:val="22"/>
          <w:lang w:val="de-DE"/>
        </w:rPr>
        <w:t>schließt die Lücke bei</w:t>
      </w:r>
      <w:r w:rsidRPr="00467C93">
        <w:rPr>
          <w:rFonts w:ascii="Arial" w:hAnsi="Arial" w:cs="Arial"/>
          <w:color w:val="auto"/>
          <w:sz w:val="20"/>
          <w:szCs w:val="22"/>
          <w:lang w:val="de-DE"/>
        </w:rPr>
        <w:t>m</w:t>
      </w:r>
      <w:r w:rsidR="00A11860"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 Abschluss und </w:t>
      </w:r>
      <w:r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bei der </w:t>
      </w:r>
      <w:r w:rsidR="00A11860"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Verlängerung einer </w:t>
      </w:r>
      <w:r w:rsidR="002803C4" w:rsidRPr="00467C93">
        <w:rPr>
          <w:rFonts w:ascii="Arial" w:hAnsi="Arial" w:cs="Arial"/>
          <w:color w:val="auto"/>
          <w:sz w:val="20"/>
          <w:szCs w:val="22"/>
          <w:lang w:val="de-DE"/>
        </w:rPr>
        <w:t>G</w:t>
      </w:r>
      <w:r w:rsidR="00A11860" w:rsidRPr="00467C93">
        <w:rPr>
          <w:rFonts w:ascii="Arial" w:hAnsi="Arial" w:cs="Arial"/>
          <w:color w:val="auto"/>
          <w:sz w:val="20"/>
          <w:szCs w:val="22"/>
          <w:lang w:val="de-DE"/>
        </w:rPr>
        <w:t>arantie</w:t>
      </w:r>
      <w:r w:rsidR="002803C4" w:rsidRPr="00467C93">
        <w:rPr>
          <w:rFonts w:ascii="Arial" w:hAnsi="Arial" w:cs="Arial"/>
          <w:color w:val="auto"/>
          <w:sz w:val="20"/>
          <w:szCs w:val="22"/>
          <w:lang w:val="de-DE"/>
        </w:rPr>
        <w:t xml:space="preserve"> für neue und gebrauchte Fahrzeuge.</w:t>
      </w:r>
    </w:p>
    <w:p w14:paraId="0B6E29A9" w14:textId="1C40FC22" w:rsidR="00184E1D" w:rsidRPr="00E01EB6" w:rsidRDefault="00184E1D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5D431BD4" w14:textId="46FC5576" w:rsidR="00462269" w:rsidRPr="00E01EB6" w:rsidRDefault="00E01EB6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  <w:r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TECHART</w:t>
      </w:r>
      <w:r w:rsidR="009C7519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 bietet </w:t>
      </w:r>
      <w:r w:rsidR="00915825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seit 2018 </w:t>
      </w:r>
      <w:r w:rsidR="00462269" w:rsidRPr="00E01EB6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Alternative zu</w:t>
      </w:r>
      <w:r w:rsidR="00B43951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r Herstellergarantie</w:t>
      </w:r>
      <w:r w:rsidR="005D5B15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.</w:t>
      </w:r>
    </w:p>
    <w:p w14:paraId="06A0D7C4" w14:textId="77777777" w:rsidR="00462269" w:rsidRPr="00E01EB6" w:rsidRDefault="00462269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4EA2C90B" w14:textId="14A4FB82" w:rsidR="00F06B48" w:rsidRPr="005D5B15" w:rsidRDefault="00F06B48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5D5B15">
        <w:rPr>
          <w:rFonts w:ascii="Arial" w:hAnsi="Arial" w:cs="Arial"/>
          <w:color w:val="auto"/>
          <w:sz w:val="20"/>
          <w:szCs w:val="22"/>
          <w:lang w:val="de-DE"/>
        </w:rPr>
        <w:t>Bereits seit 2018 können europäische Kunden auf eine Alternative zu</w:t>
      </w:r>
      <w:r w:rsidR="00AF5D48">
        <w:rPr>
          <w:rFonts w:ascii="Arial" w:hAnsi="Arial" w:cs="Arial"/>
          <w:color w:val="auto"/>
          <w:sz w:val="20"/>
          <w:szCs w:val="22"/>
          <w:lang w:val="de-DE"/>
        </w:rPr>
        <w:t xml:space="preserve">r Herstellergarantie 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zurückgreifen. Die Neu- und Gebrauchtfahrzeuggarantie TECHART PROTECT sichert die Freude am individualisierten Porsche Modell auf viele Jahre hinaus ab. </w:t>
      </w:r>
      <w:r w:rsidR="00AF5D48">
        <w:rPr>
          <w:rFonts w:ascii="Arial" w:hAnsi="Arial" w:cs="Arial"/>
          <w:color w:val="auto"/>
          <w:sz w:val="20"/>
          <w:szCs w:val="22"/>
          <w:lang w:val="de-DE"/>
        </w:rPr>
        <w:t xml:space="preserve">Umfangreiche 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Leistungen und </w:t>
      </w:r>
      <w:r w:rsidR="00AF5D48">
        <w:rPr>
          <w:rFonts w:ascii="Arial" w:hAnsi="Arial" w:cs="Arial"/>
          <w:color w:val="auto"/>
          <w:sz w:val="20"/>
          <w:szCs w:val="22"/>
          <w:lang w:val="de-DE"/>
        </w:rPr>
        <w:t xml:space="preserve">attraktive 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Konditionen </w:t>
      </w:r>
      <w:r w:rsidR="00AF5D48">
        <w:rPr>
          <w:rFonts w:ascii="Arial" w:hAnsi="Arial" w:cs="Arial"/>
          <w:color w:val="auto"/>
          <w:sz w:val="20"/>
          <w:szCs w:val="22"/>
          <w:lang w:val="de-DE"/>
        </w:rPr>
        <w:t>bieten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TECHART Kunden </w:t>
      </w:r>
      <w:r w:rsidR="00AF5D48">
        <w:rPr>
          <w:rFonts w:ascii="Arial" w:hAnsi="Arial" w:cs="Arial"/>
          <w:color w:val="auto"/>
          <w:sz w:val="20"/>
          <w:szCs w:val="22"/>
          <w:lang w:val="de-DE"/>
        </w:rPr>
        <w:t xml:space="preserve">Sicherheit für </w:t>
      </w:r>
      <w:r w:rsidR="00326325">
        <w:rPr>
          <w:rFonts w:ascii="Arial" w:hAnsi="Arial" w:cs="Arial"/>
          <w:color w:val="auto"/>
          <w:sz w:val="20"/>
          <w:szCs w:val="22"/>
          <w:lang w:val="de-DE"/>
        </w:rPr>
        <w:t>kleine und große Individualisierungsmaßnahmen.</w:t>
      </w:r>
    </w:p>
    <w:p w14:paraId="7883F032" w14:textId="78A2AB5E" w:rsidR="00462269" w:rsidRPr="00E01EB6" w:rsidRDefault="00462269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2E5CD022" w14:textId="77777777" w:rsidR="00E27281" w:rsidRDefault="00E27281">
      <w:pPr>
        <w:rPr>
          <w:rFonts w:ascii="Square721 BT" w:hAnsi="Square721 BT"/>
          <w:b/>
          <w:szCs w:val="22"/>
        </w:rPr>
      </w:pPr>
      <w:r>
        <w:rPr>
          <w:rFonts w:ascii="Square721 BT" w:hAnsi="Square721 BT"/>
          <w:b/>
          <w:bCs w:val="0"/>
          <w:szCs w:val="22"/>
        </w:rPr>
        <w:br w:type="page"/>
      </w:r>
    </w:p>
    <w:p w14:paraId="13952312" w14:textId="3B201CF2" w:rsidR="00462269" w:rsidRPr="00E01EB6" w:rsidRDefault="00462269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  <w:r w:rsidRPr="00E01EB6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lastRenderedPageBreak/>
        <w:t>In Europa bewährt, jetzt international erhältlich: TECHART PROTECT</w:t>
      </w:r>
      <w:r w:rsidR="0047614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.</w:t>
      </w:r>
    </w:p>
    <w:p w14:paraId="794939DE" w14:textId="77777777" w:rsidR="00F06B48" w:rsidRPr="00E01EB6" w:rsidRDefault="00F06B48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4D7F2027" w14:textId="752278B4" w:rsidR="00B67A62" w:rsidRPr="005D5B15" w:rsidRDefault="00D929D9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Jetzt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F06B48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steht auch 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den </w:t>
      </w:r>
      <w:r w:rsidR="00F06B48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internationalen 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TECHART </w:t>
      </w:r>
      <w:r w:rsidR="00F06B48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Kunden 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beim Wunsch nach 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sorgenfreier </w:t>
      </w:r>
      <w:r w:rsidR="00326325">
        <w:rPr>
          <w:rFonts w:ascii="Arial" w:hAnsi="Arial" w:cs="Arial"/>
          <w:color w:val="auto"/>
          <w:sz w:val="20"/>
          <w:szCs w:val="22"/>
          <w:lang w:val="de-DE"/>
        </w:rPr>
        <w:t>Personalisierung ihres Porsche Fahrzeugs</w:t>
      </w:r>
      <w:r w:rsidR="00326325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F06B48" w:rsidRPr="005D5B15">
        <w:rPr>
          <w:rFonts w:ascii="Arial" w:hAnsi="Arial" w:cs="Arial"/>
          <w:color w:val="auto"/>
          <w:sz w:val="20"/>
          <w:szCs w:val="22"/>
          <w:lang w:val="de-DE"/>
        </w:rPr>
        <w:t>nichts mehr im Wege. Mit der internationalen Ausweitung der TECHART PROTECT Garantie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profitieren 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nun 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>auch Individualisten in Nord- und Südamerika, Asien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>,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Australien sowie im Nahen Osten. Der große Leistungsumfang ist identisch mit de</w:t>
      </w:r>
      <w:r>
        <w:rPr>
          <w:rFonts w:ascii="Arial" w:hAnsi="Arial" w:cs="Arial"/>
          <w:color w:val="auto"/>
          <w:sz w:val="20"/>
          <w:szCs w:val="22"/>
          <w:lang w:val="de-DE"/>
        </w:rPr>
        <w:t>r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bisherigen 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europaweiten 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TECHART PROTECT </w:t>
      </w:r>
      <w:r>
        <w:rPr>
          <w:rFonts w:ascii="Arial" w:hAnsi="Arial" w:cs="Arial"/>
          <w:color w:val="auto"/>
          <w:sz w:val="20"/>
          <w:szCs w:val="22"/>
          <w:lang w:val="de-DE"/>
        </w:rPr>
        <w:t>Garantie</w:t>
      </w:r>
      <w:r w:rsidR="00A92C96" w:rsidRPr="005D5B15">
        <w:rPr>
          <w:rFonts w:ascii="Arial" w:hAnsi="Arial" w:cs="Arial"/>
          <w:color w:val="auto"/>
          <w:sz w:val="20"/>
          <w:szCs w:val="22"/>
          <w:lang w:val="de-DE"/>
        </w:rPr>
        <w:t>.</w:t>
      </w:r>
    </w:p>
    <w:p w14:paraId="036D4580" w14:textId="120FEE09" w:rsidR="008D12C0" w:rsidRPr="00E01EB6" w:rsidRDefault="008D12C0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19058A8F" w14:textId="13FC8FF4" w:rsidR="009764BE" w:rsidRPr="005D5B15" w:rsidRDefault="009764BE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Nach Feststellung des Fahrzeugzustands in einem </w:t>
      </w:r>
      <w:r w:rsidR="008D12C0" w:rsidRPr="005D5B15">
        <w:rPr>
          <w:rFonts w:ascii="Arial" w:hAnsi="Arial" w:cs="Arial"/>
          <w:color w:val="auto"/>
          <w:sz w:val="20"/>
          <w:szCs w:val="22"/>
          <w:lang w:val="de-DE"/>
        </w:rPr>
        <w:t>111 Punkte Check</w:t>
      </w:r>
      <w:r w:rsidRPr="005D5B15"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1</w:t>
      </w:r>
      <w:r w:rsidR="008D12C0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beinhaltet TECHART PROTECT die Garantie auf das gesamte Fahrzeug inklusive Motor, Getriebe und sämtliche</w:t>
      </w:r>
      <w:r w:rsidR="00E27281" w:rsidRPr="005D5B15">
        <w:rPr>
          <w:rFonts w:ascii="Arial" w:hAnsi="Arial" w:cs="Arial"/>
          <w:color w:val="auto"/>
          <w:sz w:val="20"/>
          <w:szCs w:val="22"/>
          <w:lang w:val="de-DE"/>
        </w:rPr>
        <w:t>n</w:t>
      </w:r>
      <w:r w:rsidR="008D12C0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weiteren Fahrzeugkomponenten. Ohne Selbstbeteiligung oder Vorleistung werden 100% der Lohn- und Materialkosten übernommen</w:t>
      </w:r>
      <w:r w:rsidR="00152288" w:rsidRPr="005D5B15">
        <w:rPr>
          <w:rFonts w:ascii="Arial" w:hAnsi="Arial" w:cs="Arial"/>
          <w:color w:val="auto"/>
          <w:sz w:val="20"/>
          <w:szCs w:val="22"/>
          <w:lang w:val="de-DE"/>
        </w:rPr>
        <w:t>. Die Kilometerleistung ist während der TECHART PROTECT Laufzeit unbegrenzt</w:t>
      </w:r>
      <w:r w:rsidRPr="005D5B15"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2</w:t>
      </w:r>
      <w:r w:rsidR="00152288" w:rsidRPr="005D5B15">
        <w:rPr>
          <w:rFonts w:ascii="Arial" w:hAnsi="Arial" w:cs="Arial"/>
          <w:color w:val="auto"/>
          <w:sz w:val="20"/>
          <w:szCs w:val="22"/>
          <w:lang w:val="de-DE"/>
        </w:rPr>
        <w:t>.</w:t>
      </w:r>
    </w:p>
    <w:p w14:paraId="2CB146CD" w14:textId="77777777" w:rsidR="00E01EB6" w:rsidRPr="005D5B15" w:rsidRDefault="00E01EB6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14:paraId="1E194889" w14:textId="1A40E904" w:rsidR="000065A3" w:rsidRPr="005D5B15" w:rsidRDefault="004901B7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In Deutschland profitieren Kunden </w:t>
      </w:r>
      <w:r w:rsidR="005A36D2" w:rsidRPr="005D5B15">
        <w:rPr>
          <w:rFonts w:ascii="Arial" w:hAnsi="Arial" w:cs="Arial"/>
          <w:color w:val="auto"/>
          <w:sz w:val="20"/>
          <w:szCs w:val="22"/>
          <w:lang w:val="de-DE"/>
        </w:rPr>
        <w:t>zusätzlich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von</w:t>
      </w:r>
      <w:r w:rsidR="00300BAD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A36D2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einem engmaschigen Assistance Netzwerk mit rund 2.000 Pannenhilfe- und Abschleppfahrzeugen sowie einer </w:t>
      </w:r>
      <w:r w:rsidR="00152288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umfassenden </w:t>
      </w:r>
      <w:r w:rsidR="005A36D2" w:rsidRPr="005D5B15">
        <w:rPr>
          <w:rFonts w:ascii="Arial" w:hAnsi="Arial" w:cs="Arial"/>
          <w:color w:val="auto"/>
          <w:sz w:val="20"/>
          <w:szCs w:val="22"/>
          <w:lang w:val="de-DE"/>
        </w:rPr>
        <w:t>M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>obilitätsgarantie</w:t>
      </w:r>
      <w:r w:rsidR="00152288" w:rsidRPr="005D5B15">
        <w:rPr>
          <w:rFonts w:ascii="Arial" w:hAnsi="Arial" w:cs="Arial"/>
          <w:color w:val="auto"/>
          <w:sz w:val="20"/>
          <w:szCs w:val="22"/>
          <w:lang w:val="de-DE"/>
        </w:rPr>
        <w:t>.</w:t>
      </w:r>
    </w:p>
    <w:p w14:paraId="6A39AA8E" w14:textId="77777777" w:rsidR="000065A3" w:rsidRPr="00E01EB6" w:rsidRDefault="000065A3" w:rsidP="00152288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1AEFBAAD" w14:textId="5B471A61" w:rsidR="00E01EB6" w:rsidRDefault="00E01EB6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  <w:r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TECHART</w:t>
      </w:r>
      <w:r w:rsidR="007561BE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 PROTECT in </w:t>
      </w:r>
      <w:r w:rsidR="00326325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50</w:t>
      </w:r>
      <w:r w:rsidR="007561BE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 xml:space="preserve"> Ländern</w:t>
      </w:r>
      <w:r w:rsidR="0047614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.</w:t>
      </w:r>
    </w:p>
    <w:p w14:paraId="1F3DEB5E" w14:textId="5E066CB2" w:rsidR="00E01EB6" w:rsidRDefault="00E01EB6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</w:p>
    <w:p w14:paraId="770BB87F" w14:textId="4765E2D7" w:rsidR="007561BE" w:rsidRPr="005D5B15" w:rsidRDefault="007561BE" w:rsidP="007561BE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de-DE"/>
        </w:rPr>
      </w:pPr>
      <w:r w:rsidRPr="005D5B15">
        <w:rPr>
          <w:rFonts w:ascii="Arial" w:hAnsi="Arial" w:cs="Arial"/>
          <w:color w:val="auto"/>
          <w:sz w:val="20"/>
          <w:szCs w:val="20"/>
          <w:lang w:val="de-DE"/>
        </w:rPr>
        <w:t xml:space="preserve">TECHART bietet die Fahrzeug-Vollgarantie </w:t>
      </w:r>
      <w:r w:rsidR="009C7519" w:rsidRPr="005D5B15">
        <w:rPr>
          <w:rFonts w:ascii="Arial" w:hAnsi="Arial" w:cs="Arial"/>
          <w:color w:val="auto"/>
          <w:sz w:val="20"/>
          <w:szCs w:val="20"/>
          <w:lang w:val="de-DE"/>
        </w:rPr>
        <w:t>Kunden</w:t>
      </w:r>
      <w:r w:rsidRPr="005D5B15">
        <w:rPr>
          <w:rFonts w:ascii="Arial" w:hAnsi="Arial" w:cs="Arial"/>
          <w:color w:val="auto"/>
          <w:sz w:val="20"/>
          <w:szCs w:val="20"/>
          <w:lang w:val="de-DE"/>
        </w:rPr>
        <w:t xml:space="preserve"> in folgenden Ländern an:</w:t>
      </w:r>
    </w:p>
    <w:p w14:paraId="17B1D554" w14:textId="77777777" w:rsidR="007561BE" w:rsidRPr="00C818AA" w:rsidRDefault="007561BE" w:rsidP="006417C1">
      <w:pPr>
        <w:pStyle w:val="BoxedText"/>
        <w:numPr>
          <w:ilvl w:val="0"/>
          <w:numId w:val="16"/>
        </w:numPr>
        <w:spacing w:line="360" w:lineRule="auto"/>
        <w:jc w:val="left"/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</w:pPr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t>Europa: EU-Mitgliedsstaaten, Schweiz, Norwegen, Großbritannien</w:t>
      </w:r>
    </w:p>
    <w:p w14:paraId="1C51AE4A" w14:textId="77777777" w:rsidR="007561BE" w:rsidRPr="00C818AA" w:rsidRDefault="007561BE" w:rsidP="006417C1">
      <w:pPr>
        <w:pStyle w:val="BoxedText"/>
        <w:numPr>
          <w:ilvl w:val="0"/>
          <w:numId w:val="16"/>
        </w:numPr>
        <w:spacing w:line="360" w:lineRule="auto"/>
        <w:jc w:val="left"/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</w:pPr>
      <w:proofErr w:type="spellStart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>Nordamerika</w:t>
      </w:r>
      <w:proofErr w:type="spellEnd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 xml:space="preserve">: USA, </w:t>
      </w:r>
      <w:proofErr w:type="spellStart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>Kanada</w:t>
      </w:r>
      <w:proofErr w:type="spellEnd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 xml:space="preserve">, </w:t>
      </w:r>
      <w:proofErr w:type="spellStart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>Mexiko</w:t>
      </w:r>
      <w:proofErr w:type="spellEnd"/>
    </w:p>
    <w:p w14:paraId="04981E42" w14:textId="77777777" w:rsidR="007561BE" w:rsidRPr="00C818AA" w:rsidRDefault="007561BE" w:rsidP="006417C1">
      <w:pPr>
        <w:pStyle w:val="BoxedText"/>
        <w:numPr>
          <w:ilvl w:val="0"/>
          <w:numId w:val="16"/>
        </w:numPr>
        <w:spacing w:line="360" w:lineRule="auto"/>
        <w:jc w:val="left"/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</w:pPr>
      <w:proofErr w:type="spellStart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>Südamerika</w:t>
      </w:r>
      <w:proofErr w:type="spellEnd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 xml:space="preserve">: Chile, </w:t>
      </w:r>
      <w:proofErr w:type="spellStart"/>
      <w:r w:rsidRPr="00C818AA">
        <w:rPr>
          <w:rStyle w:val="CaptionItalicCaption"/>
          <w:rFonts w:ascii="Arial" w:hAnsi="Arial" w:cs="Arial"/>
          <w:i w:val="0"/>
          <w:color w:val="auto"/>
          <w:sz w:val="20"/>
          <w:szCs w:val="22"/>
        </w:rPr>
        <w:t>Brasilien</w:t>
      </w:r>
      <w:proofErr w:type="spellEnd"/>
    </w:p>
    <w:p w14:paraId="5ACD877E" w14:textId="51CBE57C" w:rsidR="007561BE" w:rsidRPr="00A87B1D" w:rsidRDefault="007561BE" w:rsidP="006417C1">
      <w:pPr>
        <w:pStyle w:val="BoxedText"/>
        <w:numPr>
          <w:ilvl w:val="0"/>
          <w:numId w:val="16"/>
        </w:numPr>
        <w:spacing w:line="360" w:lineRule="auto"/>
        <w:jc w:val="left"/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</w:pPr>
      <w:r w:rsidRPr="00A87B1D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t xml:space="preserve">Asien-Pazifik: </w:t>
      </w:r>
      <w:r w:rsidR="000065A3" w:rsidRPr="00A87B1D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t>Australien, Indonesien, Japan, Philippinen, Singapur, Taiwan,</w:t>
      </w:r>
      <w:r w:rsidR="00D929D9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br/>
      </w:r>
      <w:r w:rsidR="000065A3" w:rsidRPr="00A87B1D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t>Thailand, Vietnam, Indien</w:t>
      </w:r>
    </w:p>
    <w:p w14:paraId="51DE7972" w14:textId="429E0355" w:rsidR="00A87B1D" w:rsidRDefault="007561BE" w:rsidP="006417C1">
      <w:pPr>
        <w:pStyle w:val="BoxedText"/>
        <w:numPr>
          <w:ilvl w:val="0"/>
          <w:numId w:val="16"/>
        </w:numPr>
        <w:spacing w:line="360" w:lineRule="auto"/>
        <w:jc w:val="left"/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</w:pPr>
      <w:r w:rsidRPr="00A87B1D"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  <w:t>Naher Osten: Vereinigte Arabische Emirate, Kuwait, Saudi-Arabien, Katar, Oman, Bahrain</w:t>
      </w:r>
    </w:p>
    <w:p w14:paraId="42F2BB81" w14:textId="70DA0138" w:rsidR="00A87B1D" w:rsidRDefault="00A87B1D" w:rsidP="00A87B1D">
      <w:pPr>
        <w:pStyle w:val="BoxedText"/>
        <w:spacing w:line="360" w:lineRule="auto"/>
        <w:rPr>
          <w:rStyle w:val="CaptionItalicCaption"/>
          <w:rFonts w:ascii="Arial" w:hAnsi="Arial" w:cs="Arial"/>
          <w:i w:val="0"/>
          <w:color w:val="auto"/>
          <w:sz w:val="20"/>
          <w:szCs w:val="22"/>
          <w:lang w:val="de-DE"/>
        </w:rPr>
      </w:pPr>
    </w:p>
    <w:p w14:paraId="49F43A61" w14:textId="77777777" w:rsidR="00A87B1D" w:rsidRDefault="00A87B1D" w:rsidP="00A87B1D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________________</w:t>
      </w:r>
    </w:p>
    <w:p w14:paraId="39707647" w14:textId="77777777" w:rsidR="00A87B1D" w:rsidRPr="005D5B15" w:rsidRDefault="00A87B1D" w:rsidP="00A87B1D">
      <w:pPr>
        <w:pStyle w:val="Body"/>
        <w:suppressAutoHyphens/>
        <w:spacing w:line="240" w:lineRule="auto"/>
        <w:rPr>
          <w:rFonts w:ascii="Arial" w:hAnsi="Arial" w:cs="Arial"/>
          <w:color w:val="auto"/>
          <w:sz w:val="14"/>
          <w:szCs w:val="16"/>
          <w:lang w:val="de-DE"/>
        </w:rPr>
      </w:pPr>
      <w:r w:rsidRPr="005D5B15"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1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5D5B15">
        <w:rPr>
          <w:rFonts w:ascii="Arial" w:hAnsi="Arial" w:cs="Arial"/>
          <w:color w:val="auto"/>
          <w:sz w:val="14"/>
          <w:szCs w:val="16"/>
          <w:lang w:val="de-DE"/>
        </w:rPr>
        <w:t>Die Durchführung des 111-Punkte-Checks ist mit zusätzlichen Kosten verbunden.</w:t>
      </w:r>
    </w:p>
    <w:p w14:paraId="2A764FDF" w14:textId="77777777" w:rsidR="00A87B1D" w:rsidRPr="005D5B15" w:rsidRDefault="00A87B1D" w:rsidP="00A87B1D">
      <w:pPr>
        <w:pStyle w:val="Body"/>
        <w:suppressAutoHyphens/>
        <w:spacing w:line="240" w:lineRule="auto"/>
        <w:rPr>
          <w:rFonts w:ascii="Arial" w:hAnsi="Arial" w:cs="Arial"/>
          <w:color w:val="auto"/>
          <w:sz w:val="14"/>
          <w:szCs w:val="16"/>
          <w:lang w:val="de-DE"/>
        </w:rPr>
      </w:pPr>
      <w:r w:rsidRPr="005D5B15"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2</w:t>
      </w:r>
      <w:r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5D5B15">
        <w:rPr>
          <w:rFonts w:ascii="Arial" w:hAnsi="Arial" w:cs="Arial"/>
          <w:color w:val="auto"/>
          <w:sz w:val="14"/>
          <w:szCs w:val="16"/>
          <w:lang w:val="de-DE"/>
        </w:rPr>
        <w:t>Vorbehaltlich Garantieausschlüsse und Verschleißteile. Maßgeblich sind die TECHART PROTECT Garantiebedingungen, abrufbar unter www.techart.de/protect.</w:t>
      </w:r>
    </w:p>
    <w:p w14:paraId="766DB568" w14:textId="583E4885" w:rsidR="00A87B1D" w:rsidRDefault="00A87B1D">
      <w:pPr>
        <w:rPr>
          <w:rFonts w:ascii="Arial" w:hAnsi="Arial"/>
          <w:bCs w:val="0"/>
          <w:iCs/>
          <w:sz w:val="20"/>
          <w:szCs w:val="22"/>
        </w:rPr>
      </w:pPr>
      <w:r>
        <w:rPr>
          <w:rFonts w:ascii="Arial" w:hAnsi="Arial"/>
          <w:iCs/>
          <w:sz w:val="20"/>
          <w:szCs w:val="22"/>
        </w:rPr>
        <w:br w:type="page"/>
      </w:r>
    </w:p>
    <w:p w14:paraId="7659EEA9" w14:textId="3640227C" w:rsidR="005A36D2" w:rsidRDefault="005A36D2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  <w:r w:rsidRPr="00E01EB6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lastRenderedPageBreak/>
        <w:t>TECHART PROTECT Vorteile</w:t>
      </w:r>
      <w:r w:rsidR="00476143"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  <w:t>.</w:t>
      </w:r>
    </w:p>
    <w:p w14:paraId="6CB3589C" w14:textId="375B3FB3" w:rsidR="007561BE" w:rsidRDefault="007561BE" w:rsidP="00152288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2"/>
          <w:szCs w:val="22"/>
          <w:lang w:val="de-DE"/>
        </w:rPr>
      </w:pPr>
    </w:p>
    <w:p w14:paraId="300DB348" w14:textId="77777777" w:rsidR="005D5B15" w:rsidRDefault="00C740A7" w:rsidP="005D5B15">
      <w:pPr>
        <w:pStyle w:val="BoxedText"/>
        <w:numPr>
          <w:ilvl w:val="0"/>
          <w:numId w:val="12"/>
        </w:numPr>
        <w:spacing w:line="360" w:lineRule="auto"/>
        <w:jc w:val="left"/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Feststellung des Zustands des Fahrzeug</w:t>
      </w:r>
      <w:r w:rsid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s</w:t>
      </w:r>
    </w:p>
    <w:p w14:paraId="2EC326D9" w14:textId="1B2B2B30" w:rsidR="00C740A7" w:rsidRPr="005D5B15" w:rsidRDefault="00C740A7" w:rsidP="005D5B15">
      <w:pPr>
        <w:pStyle w:val="BoxedText"/>
        <w:spacing w:line="360" w:lineRule="auto"/>
        <w:ind w:left="720"/>
        <w:jc w:val="left"/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anhand eines 111 Punkte</w:t>
      </w:r>
      <w:r w:rsidR="00121E03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 </w:t>
      </w: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umfassenden Fahrzeug Checks</w:t>
      </w:r>
      <w:r w:rsidR="001C1D5F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vertAlign w:val="superscript"/>
          <w:lang w:val="de-DE"/>
        </w:rPr>
        <w:t>3</w:t>
      </w:r>
    </w:p>
    <w:p w14:paraId="5BCA791F" w14:textId="25156763" w:rsidR="009A323C" w:rsidRPr="005D5B15" w:rsidRDefault="009A323C" w:rsidP="00C740A7">
      <w:pPr>
        <w:pStyle w:val="BoxedText"/>
        <w:numPr>
          <w:ilvl w:val="0"/>
          <w:numId w:val="12"/>
        </w:numPr>
        <w:suppressAutoHyphens/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Garantie auf das gesamte Fahrzeug</w:t>
      </w:r>
      <w:r w:rsidR="001C1D5F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vertAlign w:val="superscript"/>
          <w:lang w:val="de-DE"/>
        </w:rPr>
        <w:t>4</w:t>
      </w: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:</w:t>
      </w:r>
    </w:p>
    <w:p w14:paraId="01957288" w14:textId="61E2DCEB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Verbrennungsmotor</w:t>
      </w:r>
    </w:p>
    <w:p w14:paraId="5D577DD5" w14:textId="16042790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Elektromotor / Bauteile des Hybridantriebs</w:t>
      </w:r>
    </w:p>
    <w:p w14:paraId="00833797" w14:textId="01981CA7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Kraftstoff- / Kühlsystem</w:t>
      </w:r>
    </w:p>
    <w:p w14:paraId="44F84750" w14:textId="0365C0A5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Antriebe / Getriebe</w:t>
      </w:r>
    </w:p>
    <w:p w14:paraId="03D4AF65" w14:textId="0D25CEF7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Federung / Lenkung</w:t>
      </w:r>
    </w:p>
    <w:p w14:paraId="115960C7" w14:textId="49BA0B72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Bremssystem</w:t>
      </w:r>
    </w:p>
    <w:p w14:paraId="2CE276C7" w14:textId="57F58D0B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Heizung / Klimaanlage</w:t>
      </w:r>
    </w:p>
    <w:p w14:paraId="06F38AE3" w14:textId="24ADEA2B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Elektrik</w:t>
      </w:r>
    </w:p>
    <w:p w14:paraId="20253E7A" w14:textId="162CF512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Karosserie</w:t>
      </w:r>
    </w:p>
    <w:p w14:paraId="0527C181" w14:textId="77777777" w:rsidR="009A323C" w:rsidRPr="005D5B15" w:rsidRDefault="009A323C" w:rsidP="005D5B15">
      <w:pPr>
        <w:pStyle w:val="BoxedText"/>
        <w:numPr>
          <w:ilvl w:val="0"/>
          <w:numId w:val="12"/>
        </w:numPr>
        <w:spacing w:line="360" w:lineRule="auto"/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Freie Werkstattwahl nach Absprache mit TECHART</w:t>
      </w:r>
    </w:p>
    <w:p w14:paraId="1CDF5DED" w14:textId="3E7C7E89" w:rsidR="009A323C" w:rsidRPr="005D5B15" w:rsidRDefault="009A323C" w:rsidP="00C740A7">
      <w:pPr>
        <w:pStyle w:val="BoxedText"/>
        <w:numPr>
          <w:ilvl w:val="0"/>
          <w:numId w:val="12"/>
        </w:numPr>
        <w:spacing w:line="360" w:lineRule="auto"/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Übernahme von 100% der Material</w:t>
      </w:r>
      <w:r w:rsid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-</w:t>
      </w: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 und Lohnkosten</w:t>
      </w:r>
    </w:p>
    <w:p w14:paraId="303B60BB" w14:textId="77777777" w:rsidR="005D5B15" w:rsidRDefault="009A323C" w:rsidP="005D5B15">
      <w:pPr>
        <w:pStyle w:val="BoxedText"/>
        <w:numPr>
          <w:ilvl w:val="0"/>
          <w:numId w:val="12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0% Selbstbeteiligung, 0% Vorleistung</w:t>
      </w:r>
    </w:p>
    <w:p w14:paraId="10BEAEE4" w14:textId="11A1D2E7" w:rsidR="009A323C" w:rsidRPr="005D5B15" w:rsidRDefault="009A323C" w:rsidP="005D5B15">
      <w:pPr>
        <w:pStyle w:val="BoxedText"/>
        <w:numPr>
          <w:ilvl w:val="0"/>
          <w:numId w:val="12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Laufzeit:</w:t>
      </w:r>
      <w:r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ab/>
      </w: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- 24 Monate bei Abschluss bis 12 Monate nach Erstzulassung</w:t>
      </w:r>
    </w:p>
    <w:p w14:paraId="7E481101" w14:textId="4E4BDD75" w:rsidR="009A323C" w:rsidRPr="005D5B15" w:rsidRDefault="009A323C" w:rsidP="005D5B15">
      <w:pPr>
        <w:pStyle w:val="BoxedText"/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="00C740A7"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  <w:t>- 12 Monate bei Abschluss ab 13 Monate nach Erstzulassung</w:t>
      </w:r>
    </w:p>
    <w:p w14:paraId="16F5CD57" w14:textId="4F7BB7C8" w:rsidR="009A323C" w:rsidRPr="005D5B15" w:rsidRDefault="009A323C" w:rsidP="005D5B15">
      <w:pPr>
        <w:pStyle w:val="BoxedText"/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="00C740A7"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  <w:t>- unbegrenzte Kilometerleistung während der Laufzeit</w:t>
      </w:r>
    </w:p>
    <w:p w14:paraId="6B81E113" w14:textId="58464B2C" w:rsidR="009A323C" w:rsidRPr="005D5B15" w:rsidRDefault="009A323C" w:rsidP="008C7839">
      <w:pPr>
        <w:pStyle w:val="BoxedText"/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="00C740A7"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</w: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ab/>
        <w:t>- verlängerbar bis 7 Jahre/150.000 km</w:t>
      </w:r>
    </w:p>
    <w:p w14:paraId="650EE98D" w14:textId="2E8FD64A" w:rsidR="009A323C" w:rsidRPr="005D5B15" w:rsidRDefault="005D5B15" w:rsidP="008C7839">
      <w:pPr>
        <w:pStyle w:val="BoxedText"/>
        <w:numPr>
          <w:ilvl w:val="0"/>
          <w:numId w:val="13"/>
        </w:numPr>
        <w:spacing w:line="360" w:lineRule="auto"/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</w:pPr>
      <w:r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F</w:t>
      </w:r>
      <w:r w:rsidR="009A323C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ür in Deutschland zugelassene Fahrzeuge</w:t>
      </w:r>
      <w:r w:rsidR="00C740A7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 bereits inklusive</w:t>
      </w:r>
      <w:r w:rsidR="001C1D5F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, das </w:t>
      </w:r>
      <w:proofErr w:type="spellStart"/>
      <w:r w:rsidR="00C740A7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C</w:t>
      </w:r>
      <w:r w:rsidR="009A323C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ome</w:t>
      </w:r>
      <w:proofErr w:type="spellEnd"/>
      <w:r w:rsidR="009A323C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 Back Routing </w:t>
      </w:r>
      <w:r w:rsidR="00C740A7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und </w:t>
      </w:r>
      <w:r w:rsidR="001C1D5F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 xml:space="preserve">die </w:t>
      </w:r>
      <w:r w:rsidR="009A323C" w:rsidRPr="005D5B15">
        <w:rPr>
          <w:rStyle w:val="CaptionItalicCaption"/>
          <w:rFonts w:ascii="Arial" w:hAnsi="Arial" w:cs="Arial"/>
          <w:b/>
          <w:bCs/>
          <w:i w:val="0"/>
          <w:iCs w:val="0"/>
          <w:color w:val="auto"/>
          <w:sz w:val="20"/>
          <w:szCs w:val="22"/>
          <w:lang w:val="de-DE"/>
        </w:rPr>
        <w:t>Mobilitätsgarantie:</w:t>
      </w:r>
    </w:p>
    <w:p w14:paraId="381AA12B" w14:textId="5206D4B7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Pannen- und Unfallhilfe</w:t>
      </w:r>
      <w:r w:rsidR="00C740A7"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 xml:space="preserve"> sowie Abschleppen</w:t>
      </w:r>
    </w:p>
    <w:p w14:paraId="2D5E7958" w14:textId="28DBBBB6" w:rsidR="00C740A7" w:rsidRPr="005D5B15" w:rsidRDefault="00C740A7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Pick-up / Fahrzeugtransport Service</w:t>
      </w:r>
    </w:p>
    <w:p w14:paraId="70A5C383" w14:textId="0995FB46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Werkstattersatzfahrzeug</w:t>
      </w:r>
    </w:p>
    <w:p w14:paraId="224A7114" w14:textId="0BB8464B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Übernachtung</w:t>
      </w:r>
    </w:p>
    <w:p w14:paraId="06830B4E" w14:textId="4B82614A" w:rsidR="009A323C" w:rsidRPr="005D5B15" w:rsidRDefault="009A323C" w:rsidP="001C1D5F">
      <w:pPr>
        <w:pStyle w:val="BoxedText"/>
        <w:numPr>
          <w:ilvl w:val="0"/>
          <w:numId w:val="18"/>
        </w:numPr>
        <w:spacing w:line="360" w:lineRule="auto"/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</w:pP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Mietwagen</w:t>
      </w:r>
      <w:r w:rsidR="00C740A7"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 xml:space="preserve"> oder </w:t>
      </w:r>
      <w:r w:rsidRPr="005D5B15">
        <w:rPr>
          <w:rStyle w:val="CaptionItalicCaption"/>
          <w:rFonts w:ascii="Arial" w:hAnsi="Arial" w:cs="Arial"/>
          <w:i w:val="0"/>
          <w:iCs w:val="0"/>
          <w:color w:val="auto"/>
          <w:sz w:val="20"/>
          <w:szCs w:val="22"/>
          <w:lang w:val="de-DE"/>
        </w:rPr>
        <w:t>Bahnfahrt</w:t>
      </w:r>
    </w:p>
    <w:p w14:paraId="44DD482A" w14:textId="77777777" w:rsidR="008C7839" w:rsidRDefault="008C7839" w:rsidP="008C7839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</w:p>
    <w:p w14:paraId="25FFE09A" w14:textId="76BCD250" w:rsidR="008C7839" w:rsidRDefault="008C7839" w:rsidP="008C7839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________________</w:t>
      </w:r>
    </w:p>
    <w:p w14:paraId="64582CD0" w14:textId="5E98AB8C" w:rsidR="008C7839" w:rsidRPr="005D5B15" w:rsidRDefault="001C1D5F" w:rsidP="008C7839">
      <w:pPr>
        <w:pStyle w:val="Body"/>
        <w:suppressAutoHyphens/>
        <w:spacing w:line="240" w:lineRule="auto"/>
        <w:rPr>
          <w:rFonts w:ascii="Arial" w:hAnsi="Arial" w:cs="Arial"/>
          <w:color w:val="auto"/>
          <w:sz w:val="14"/>
          <w:szCs w:val="16"/>
          <w:lang w:val="de-DE"/>
        </w:rPr>
      </w:pPr>
      <w:r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3</w:t>
      </w:r>
      <w:r w:rsidR="008C7839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8C7839" w:rsidRPr="005D5B15">
        <w:rPr>
          <w:rFonts w:ascii="Arial" w:hAnsi="Arial" w:cs="Arial"/>
          <w:color w:val="auto"/>
          <w:sz w:val="14"/>
          <w:szCs w:val="16"/>
          <w:lang w:val="de-DE"/>
        </w:rPr>
        <w:t>Die Durchführung des 111-Punkte-Checks ist mit zusätzlichen Kosten verbunden.</w:t>
      </w:r>
    </w:p>
    <w:p w14:paraId="25BC2299" w14:textId="7CEEF9BA" w:rsidR="008C7839" w:rsidRPr="005D5B15" w:rsidRDefault="001C1D5F" w:rsidP="008C7839">
      <w:pPr>
        <w:pStyle w:val="Body"/>
        <w:suppressAutoHyphens/>
        <w:spacing w:line="240" w:lineRule="auto"/>
        <w:rPr>
          <w:rFonts w:ascii="Arial" w:hAnsi="Arial" w:cs="Arial"/>
          <w:color w:val="auto"/>
          <w:sz w:val="14"/>
          <w:szCs w:val="16"/>
          <w:lang w:val="de-DE"/>
        </w:rPr>
      </w:pPr>
      <w:r>
        <w:rPr>
          <w:rFonts w:ascii="Arial" w:hAnsi="Arial" w:cs="Arial"/>
          <w:color w:val="auto"/>
          <w:sz w:val="20"/>
          <w:szCs w:val="22"/>
          <w:vertAlign w:val="superscript"/>
          <w:lang w:val="de-DE"/>
        </w:rPr>
        <w:t>4</w:t>
      </w:r>
      <w:r w:rsidR="008C7839" w:rsidRPr="005D5B1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8C7839" w:rsidRPr="005D5B15">
        <w:rPr>
          <w:rFonts w:ascii="Arial" w:hAnsi="Arial" w:cs="Arial"/>
          <w:color w:val="auto"/>
          <w:sz w:val="14"/>
          <w:szCs w:val="16"/>
          <w:lang w:val="de-DE"/>
        </w:rPr>
        <w:t>Vorbehaltlich Garantieausschlüsse und Verschleißteile. Maßgeblich sind die TECHART PROTECT Garantiebedingungen, abrufbar unter www.techart.de/protect.</w:t>
      </w:r>
    </w:p>
    <w:p w14:paraId="700A3CC8" w14:textId="77777777" w:rsidR="00C740A7" w:rsidRPr="00C740A7" w:rsidRDefault="00C740A7" w:rsidP="00C740A7">
      <w:pPr>
        <w:pStyle w:val="BoxedText"/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A9EC943" w14:textId="1D7CF459" w:rsidR="00156E48" w:rsidRPr="00E0407B" w:rsidRDefault="00F818CA" w:rsidP="005D5B15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E35A2" w:rsidRDefault="00EE35A2">
      <w:r>
        <w:separator/>
      </w:r>
    </w:p>
  </w:endnote>
  <w:endnote w:type="continuationSeparator" w:id="0">
    <w:p w14:paraId="2FF8BD6C" w14:textId="77777777" w:rsidR="00EE35A2" w:rsidRDefault="00E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0592EF4B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04B21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04B21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E35A2" w:rsidRDefault="00EE35A2">
      <w:r>
        <w:separator/>
      </w:r>
    </w:p>
  </w:footnote>
  <w:footnote w:type="continuationSeparator" w:id="0">
    <w:p w14:paraId="20E653DF" w14:textId="77777777" w:rsidR="00EE35A2" w:rsidRDefault="00E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4E1D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13D9-98F0-42C0-8448-8E014F2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4689</Characters>
  <Application>Microsoft Office Word</Application>
  <DocSecurity>0</DocSecurity>
  <Lines>123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5254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4</cp:revision>
  <cp:lastPrinted>2020-12-16T15:07:00Z</cp:lastPrinted>
  <dcterms:created xsi:type="dcterms:W3CDTF">2021-12-02T16:11:00Z</dcterms:created>
  <dcterms:modified xsi:type="dcterms:W3CDTF">2021-12-06T15:18:00Z</dcterms:modified>
</cp:coreProperties>
</file>