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1B1B07CD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087AE5">
        <w:rPr>
          <w:rFonts w:ascii="Arial" w:hAnsi="Arial"/>
          <w:bCs w:val="0"/>
          <w:color w:val="000000"/>
          <w:szCs w:val="22"/>
        </w:rPr>
        <w:t>15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087AE5">
        <w:rPr>
          <w:rFonts w:ascii="Arial" w:hAnsi="Arial"/>
          <w:bCs w:val="0"/>
          <w:color w:val="000000"/>
          <w:szCs w:val="22"/>
        </w:rPr>
        <w:t>Juni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742A8C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6A058435" w14:textId="26C1A54A" w:rsidR="00CA6904" w:rsidRPr="004C2250" w:rsidRDefault="00087AE5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Clubsport Upgrades für alle Porsche 911 Coupés. </w:t>
      </w:r>
    </w:p>
    <w:p w14:paraId="0823E85B" w14:textId="41CFBBAF" w:rsidR="00C6285E" w:rsidRPr="00682411" w:rsidRDefault="00C6285E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</w:p>
    <w:p w14:paraId="0876CAAA" w14:textId="1FFB9F60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neu eingeführte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Performance Sparte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Flyweight bietet rennstreckentaugliche 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Upgrades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</w:t>
      </w:r>
      <w:r w:rsidR="008C4721">
        <w:rPr>
          <w:rFonts w:ascii="Arial" w:hAnsi="Arial"/>
          <w:color w:val="000000"/>
          <w:sz w:val="20"/>
          <w:szCs w:val="20"/>
          <w:shd w:val="clear" w:color="auto" w:fill="FFFFFF"/>
        </w:rPr>
        <w:t>Track Day begeisterte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Porsche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Besitzer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. Das TECHART Clubsportp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aket macht jedes Porsche 911 Coupé der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aktuellen 992 Generation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fit für den Einsatz bei Motorsportveranstaltungen.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>Das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10A6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Clubsportpaket besteht aus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TECHART Überrollbügel, TECHART 6-Punkt-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>Renngurt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TECHART Handfeuerlöscher und TECHART Abschleppöse. Alle TECHART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>C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lubsport Produkte können auch einzeln erworben werden.  </w:t>
      </w:r>
    </w:p>
    <w:p w14:paraId="504999CC" w14:textId="77777777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29E103C" w14:textId="52E6174A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TECHART Überrollbügel ist nach 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aktuellen FIA Vorgaben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konstruiert und bietet 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erhöhte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Sicherheit und eine sportliche Optik für jedes individualisierte 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Porsche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911 Coupé. Er besteht aus hochfestem Stahl aus dem Motorsport mit handgeschweißten Streben und ist in schwarz matt oder als lackierbare Version mit optionalen Leder- oder Alcantara</w:t>
      </w:r>
      <w:r w:rsidRPr="002C1A5B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</w:rPr>
        <w:t>®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Pads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erhältlich. Der T</w:t>
      </w:r>
      <w:r w:rsidR="002C1A5B">
        <w:rPr>
          <w:rFonts w:ascii="Arial" w:hAnsi="Arial"/>
          <w:color w:val="000000"/>
          <w:sz w:val="20"/>
          <w:szCs w:val="20"/>
          <w:shd w:val="clear" w:color="auto" w:fill="FFFFFF"/>
        </w:rPr>
        <w:t>ECHART 6-Punk</w:t>
      </w:r>
      <w:r w:rsidR="00D10A6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t-Renngurt mit </w:t>
      </w:r>
      <w:r w:rsidR="00D10A69"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FIA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Homologation - erhältlich in verschiedenen Farben -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>sowie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Handfeuerlöscher komplettieren das TECHART Clubsp</w:t>
      </w:r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>ortpaket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sorgen für maximale Sicherheit</w:t>
      </w:r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Cockpit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74E1A190" w14:textId="77777777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F00145E" w14:textId="7FA4936D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Darüber hinaus ist für die Porsche 911 Turbo, 911 Carrera GTS und 911 GT3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neue TECHART </w:t>
      </w:r>
      <w:proofErr w:type="spellStart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F7221">
        <w:rPr>
          <w:rFonts w:ascii="Arial" w:hAnsi="Arial"/>
          <w:color w:val="000000"/>
          <w:sz w:val="20"/>
          <w:szCs w:val="20"/>
          <w:shd w:val="clear" w:color="auto" w:fill="FFFFFF"/>
        </w:rPr>
        <w:t>Leichtbaurad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Zentralverschluss erhältlich. Das spektakuläre Turbinen-Styling </w:t>
      </w:r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Schmiederads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ermöglicht zahlreiche Farbvarianten und Veredelungen. Die </w:t>
      </w:r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>Dimensionen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gewichtsreduz</w:t>
      </w:r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ierten TECHART </w:t>
      </w:r>
      <w:proofErr w:type="spellStart"/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="00D762F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betragen 9,5 x 20 Zoll an der Vorder- und </w:t>
      </w:r>
      <w:r w:rsidR="00421B5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11,5 x 21 Zoll an der Hinterachse für die 911 Turbo Modelle, 9 x 20 Zoll </w:t>
      </w:r>
      <w:r w:rsidR="00421B5D">
        <w:rPr>
          <w:rFonts w:ascii="Arial" w:hAnsi="Arial"/>
          <w:color w:val="000000"/>
          <w:sz w:val="20"/>
          <w:szCs w:val="20"/>
          <w:shd w:val="clear" w:color="auto" w:fill="FFFFFF"/>
        </w:rPr>
        <w:t>vorne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</w:t>
      </w:r>
      <w:r w:rsidR="00421B5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11,5 x 21 Zoll hinten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911 </w:t>
      </w:r>
      <w:r w:rsidR="002E566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Carrera </w:t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GTS sowie 9,5 x 20 Zoll an der Vorder- und 12 x 21 Zoll an der Hinterachse für den 911 GT3. Das Gewicht der TECHART </w:t>
      </w:r>
      <w:proofErr w:type="spellStart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Schmiederäder für den 911 GTS beträgt nur </w:t>
      </w:r>
      <w:r w:rsidR="002E566F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9,8 kg an der Vorderachse und 11,9 kg an der Hinterachse.</w:t>
      </w:r>
    </w:p>
    <w:p w14:paraId="111A01CA" w14:textId="77777777" w:rsidR="00087AE5" w:rsidRPr="00087AE5" w:rsidRDefault="00087AE5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8592BA4" w14:textId="4DDBA10A" w:rsidR="00087AE5" w:rsidRDefault="00421B5D" w:rsidP="00087AE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Fans und interessierte Porsche </w:t>
      </w:r>
      <w:r w:rsidR="00087AE5"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Besitzer können unter </w:t>
      </w:r>
      <w:hyperlink r:id="rId8" w:history="1">
        <w:r w:rsidRPr="00AC404A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www.tech</w:t>
        </w:r>
        <w:r w:rsidRPr="00AC404A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a</w:t>
        </w:r>
        <w:r w:rsidRPr="00AC404A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rt.de/992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das gesamte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TECHART </w:t>
      </w:r>
      <w:r w:rsidR="00087AE5"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Individualisieru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ngsprogramm für die Porsche 911 </w:t>
      </w:r>
      <w:r w:rsidR="00087AE5"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entdecken und </w:t>
      </w:r>
      <w:r w:rsidR="00087AE5"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unter </w:t>
      </w:r>
      <w:hyperlink r:id="rId9" w:history="1">
        <w:r w:rsidR="00D10A69" w:rsidRPr="00D10A69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www.techart.de/konfigurator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Echtzeit-3D veredeln. </w:t>
      </w:r>
      <w:r w:rsidR="006A4F35">
        <w:rPr>
          <w:rFonts w:ascii="Arial" w:hAnsi="Arial"/>
          <w:color w:val="000000"/>
          <w:sz w:val="20"/>
          <w:szCs w:val="20"/>
          <w:shd w:val="clear" w:color="auto" w:fill="FFFFFF"/>
        </w:rPr>
        <w:t>Die TE</w:t>
      </w:r>
      <w:bookmarkStart w:id="0" w:name="_GoBack"/>
      <w:bookmarkEnd w:id="0"/>
      <w:r w:rsidR="006A4F3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CHART Browser </w:t>
      </w:r>
      <w:r w:rsidR="00087AE5" w:rsidRPr="00087AE5">
        <w:rPr>
          <w:rFonts w:ascii="Arial" w:hAnsi="Arial"/>
          <w:color w:val="000000"/>
          <w:sz w:val="20"/>
          <w:szCs w:val="20"/>
          <w:shd w:val="clear" w:color="auto" w:fill="FFFFFF"/>
        </w:rPr>
        <w:t>App bietet eine große Modellvielfalt mit nahezu unbegrenzten TECHART Styling- und Performance-Optionen.</w:t>
      </w:r>
    </w:p>
    <w:p w14:paraId="7A9EC943" w14:textId="1466370E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10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8A5931">
      <w:headerReference w:type="default" r:id="rId11"/>
      <w:footerReference w:type="default" r:id="rId12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F551" w16cex:dateUtc="2023-03-09T23:16:00Z"/>
  <w16cex:commentExtensible w16cex:durableId="27B4F5A1" w16cex:dateUtc="2023-03-09T23:17:00Z"/>
  <w16cex:commentExtensible w16cex:durableId="27B4F5EF" w16cex:dateUtc="2023-03-09T23:18:00Z"/>
  <w16cex:commentExtensible w16cex:durableId="27B4F659" w16cex:dateUtc="2023-03-09T23:20:00Z"/>
  <w16cex:commentExtensible w16cex:durableId="27B4F723" w16cex:dateUtc="2023-03-09T23:24:00Z"/>
  <w16cex:commentExtensible w16cex:durableId="27B4F797" w16cex:dateUtc="2023-03-09T23:25:00Z"/>
  <w16cex:commentExtensible w16cex:durableId="27B4F807" w16cex:dateUtc="2023-03-09T23:27:00Z"/>
  <w16cex:commentExtensible w16cex:durableId="27B4F876" w16cex:dateUtc="2023-03-09T23:29:00Z"/>
  <w16cex:commentExtensible w16cex:durableId="27B4F8F2" w16cex:dateUtc="2023-03-09T23:31:00Z"/>
  <w16cex:commentExtensible w16cex:durableId="27B4F969" w16cex:dateUtc="2023-03-09T23:33:00Z"/>
  <w16cex:commentExtensible w16cex:durableId="27B4F985" w16cex:dateUtc="2023-03-09T23:34:00Z"/>
  <w16cex:commentExtensible w16cex:durableId="27B4F9A8" w16cex:dateUtc="2023-03-09T23:34:00Z"/>
  <w16cex:commentExtensible w16cex:durableId="27B4FA32" w16cex:dateUtc="2023-03-09T23:37:00Z"/>
  <w16cex:commentExtensible w16cex:durableId="27B4FA85" w16cex:dateUtc="2023-03-09T23:38:00Z"/>
  <w16cex:commentExtensible w16cex:durableId="27B4FAD8" w16cex:dateUtc="2023-03-09T23:39:00Z"/>
  <w16cex:commentExtensible w16cex:durableId="27B4FB09" w16cex:dateUtc="2023-03-09T23:40:00Z"/>
  <w16cex:commentExtensible w16cex:durableId="27B4FB31" w16cex:dateUtc="2023-03-09T23:41:00Z"/>
  <w16cex:commentExtensible w16cex:durableId="27B4FB9E" w16cex:dateUtc="2023-03-09T23:43:00Z"/>
  <w16cex:commentExtensible w16cex:durableId="27B4FC75" w16cex:dateUtc="2023-03-09T23:46:00Z"/>
  <w16cex:commentExtensible w16cex:durableId="27B4FCAB" w16cex:dateUtc="2023-03-09T23:47:00Z"/>
  <w16cex:commentExtensible w16cex:durableId="27B4FCD2" w16cex:dateUtc="2023-03-09T23:48:00Z"/>
  <w16cex:commentExtensible w16cex:durableId="27B4FCF8" w16cex:dateUtc="2023-03-09T23:48:00Z"/>
  <w16cex:commentExtensible w16cex:durableId="27B4FD65" w16cex:dateUtc="2023-03-09T23:50:00Z"/>
  <w16cex:commentExtensible w16cex:durableId="27B4FDAB" w16cex:dateUtc="2023-03-09T23:51:00Z"/>
  <w16cex:commentExtensible w16cex:durableId="27B4FDC2" w16cex:dateUtc="2023-03-09T23:52:00Z"/>
  <w16cex:commentExtensible w16cex:durableId="27B4FE05" w16cex:dateUtc="2023-03-09T23:53:00Z"/>
  <w16cex:commentExtensible w16cex:durableId="27B4FE6B" w16cex:dateUtc="2023-03-09T23:55:00Z"/>
  <w16cex:commentExtensible w16cex:durableId="27B4FEB8" w16cex:dateUtc="2023-03-09T23:56:00Z"/>
  <w16cex:commentExtensible w16cex:durableId="27B4FF19" w16cex:dateUtc="2023-03-09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11E27" w16cid:durableId="27B4F551"/>
  <w16cid:commentId w16cid:paraId="2B7B88EF" w16cid:durableId="27B4F5A1"/>
  <w16cid:commentId w16cid:paraId="24AF7DF1" w16cid:durableId="27B4F5EF"/>
  <w16cid:commentId w16cid:paraId="4C8C7995" w16cid:durableId="27B4F659"/>
  <w16cid:commentId w16cid:paraId="7500AEF7" w16cid:durableId="27B4F723"/>
  <w16cid:commentId w16cid:paraId="4BA02D62" w16cid:durableId="27B4F797"/>
  <w16cid:commentId w16cid:paraId="7C11D884" w16cid:durableId="27B4F807"/>
  <w16cid:commentId w16cid:paraId="5BD7044C" w16cid:durableId="27B4F876"/>
  <w16cid:commentId w16cid:paraId="732A5706" w16cid:durableId="27B4F8F2"/>
  <w16cid:commentId w16cid:paraId="2D41B9D0" w16cid:durableId="27B4F969"/>
  <w16cid:commentId w16cid:paraId="573E5794" w16cid:durableId="27B4F985"/>
  <w16cid:commentId w16cid:paraId="632B2DE7" w16cid:durableId="27B4F9A8"/>
  <w16cid:commentId w16cid:paraId="28D8CBAF" w16cid:durableId="27B4FA32"/>
  <w16cid:commentId w16cid:paraId="6FB011E0" w16cid:durableId="27B4FA85"/>
  <w16cid:commentId w16cid:paraId="4CCF46A4" w16cid:durableId="27B4FAD8"/>
  <w16cid:commentId w16cid:paraId="1BAB0004" w16cid:durableId="27B4FB09"/>
  <w16cid:commentId w16cid:paraId="075BA552" w16cid:durableId="27B4FB31"/>
  <w16cid:commentId w16cid:paraId="10987ACC" w16cid:durableId="27B4FB9E"/>
  <w16cid:commentId w16cid:paraId="1EDE3A14" w16cid:durableId="27B4FC75"/>
  <w16cid:commentId w16cid:paraId="6A5C54CE" w16cid:durableId="27B4FCAB"/>
  <w16cid:commentId w16cid:paraId="14F45F52" w16cid:durableId="27B4FCD2"/>
  <w16cid:commentId w16cid:paraId="431EA210" w16cid:durableId="27B4FCF8"/>
  <w16cid:commentId w16cid:paraId="3B531C3C" w16cid:durableId="27B4FD65"/>
  <w16cid:commentId w16cid:paraId="595190C0" w16cid:durableId="27B4FDAB"/>
  <w16cid:commentId w16cid:paraId="4DFF89DD" w16cid:durableId="27B4FDC2"/>
  <w16cid:commentId w16cid:paraId="5E8ACA61" w16cid:durableId="27B4FE05"/>
  <w16cid:commentId w16cid:paraId="587AAA84" w16cid:durableId="27B4FE6B"/>
  <w16cid:commentId w16cid:paraId="0A98F940" w16cid:durableId="27B4FEB8"/>
  <w16cid:commentId w16cid:paraId="2686FAA2" w16cid:durableId="27B4FF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8B5E1B" w:rsidRDefault="008B5E1B">
      <w:r>
        <w:separator/>
      </w:r>
    </w:p>
  </w:endnote>
  <w:endnote w:type="continuationSeparator" w:id="0">
    <w:p w14:paraId="2FF8BD6C" w14:textId="77777777" w:rsidR="008B5E1B" w:rsidRDefault="008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184D503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A4F35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A4F35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8B5E1B" w:rsidRDefault="008B5E1B">
      <w:r>
        <w:separator/>
      </w:r>
    </w:p>
  </w:footnote>
  <w:footnote w:type="continuationSeparator" w:id="0">
    <w:p w14:paraId="20E653DF" w14:textId="77777777" w:rsidR="008B5E1B" w:rsidRDefault="008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6C06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3F03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7438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733"/>
    <w:rsid w:val="00A74681"/>
    <w:rsid w:val="00A74A82"/>
    <w:rsid w:val="00A758EC"/>
    <w:rsid w:val="00A7725B"/>
    <w:rsid w:val="00A77B0B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8F0"/>
    <w:rsid w:val="00F93FAF"/>
    <w:rsid w:val="00F961F9"/>
    <w:rsid w:val="00F96C41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de/9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.rohrscheidt@techa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art.de/de/service-dialog/techart-3d-konfigura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86BB-EE93-4D51-A143-0A45014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3568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5</cp:revision>
  <cp:lastPrinted>2020-12-16T15:07:00Z</cp:lastPrinted>
  <dcterms:created xsi:type="dcterms:W3CDTF">2023-06-13T14:52:00Z</dcterms:created>
  <dcterms:modified xsi:type="dcterms:W3CDTF">2023-06-14T10:38:00Z</dcterms:modified>
</cp:coreProperties>
</file>