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176F" w14:textId="6FDCFF8C" w:rsidR="00D45142" w:rsidRPr="009673F3" w:rsidRDefault="00533A3F" w:rsidP="00E21CB9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für Porsche 911 Turbo </w:t>
      </w:r>
      <w:r w:rsidR="00DD1737">
        <w:rPr>
          <w:rFonts w:ascii="Square721 BT" w:hAnsi="Square721 BT"/>
          <w:b/>
          <w:sz w:val="32"/>
          <w:szCs w:val="32"/>
        </w:rPr>
        <w:t>erneut auf Platz eins.</w:t>
      </w:r>
    </w:p>
    <w:p w14:paraId="2903BF51" w14:textId="77777777" w:rsidR="0025567F" w:rsidRPr="009673F3" w:rsidRDefault="0025567F" w:rsidP="0025567F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</w:p>
    <w:p w14:paraId="3B68FB7A" w14:textId="46D10F64" w:rsidR="00E21CB9" w:rsidRDefault="00DD1737" w:rsidP="00340F43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Zum dritten Mal in Folge erste</w:t>
      </w:r>
      <w:r w:rsidR="00533A3F">
        <w:rPr>
          <w:rFonts w:ascii="Square721 BT" w:hAnsi="Square721 BT"/>
          <w:b/>
          <w:sz w:val="24"/>
          <w:szCs w:val="24"/>
        </w:rPr>
        <w:t xml:space="preserve"> Wahl bei </w:t>
      </w:r>
      <w:proofErr w:type="spellStart"/>
      <w:r w:rsidR="00533A3F">
        <w:rPr>
          <w:rFonts w:ascii="Square721 BT" w:hAnsi="Square721 BT"/>
          <w:b/>
          <w:sz w:val="24"/>
          <w:szCs w:val="24"/>
        </w:rPr>
        <w:t>sport</w:t>
      </w:r>
      <w:proofErr w:type="spellEnd"/>
      <w:r w:rsidR="00533A3F"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 w:rsidR="00533A3F">
        <w:rPr>
          <w:rFonts w:ascii="Square721 BT" w:hAnsi="Square721 BT"/>
          <w:b/>
          <w:sz w:val="24"/>
          <w:szCs w:val="24"/>
        </w:rPr>
        <w:t>auto</w:t>
      </w:r>
      <w:proofErr w:type="spellEnd"/>
      <w:r w:rsidR="00533A3F">
        <w:rPr>
          <w:rFonts w:ascii="Square721 BT" w:hAnsi="Square721 BT"/>
          <w:b/>
          <w:sz w:val="24"/>
          <w:szCs w:val="24"/>
        </w:rPr>
        <w:t xml:space="preserve"> Lesern: das </w:t>
      </w:r>
      <w:r w:rsidR="00E21CB9" w:rsidRPr="00E21CB9">
        <w:rPr>
          <w:rFonts w:ascii="Square721 BT" w:hAnsi="Square721 BT"/>
          <w:b/>
          <w:sz w:val="24"/>
          <w:szCs w:val="24"/>
        </w:rPr>
        <w:t xml:space="preserve">TECHART </w:t>
      </w:r>
      <w:r w:rsidR="00533A3F">
        <w:rPr>
          <w:rFonts w:ascii="Square721 BT" w:hAnsi="Square721 BT"/>
          <w:b/>
          <w:sz w:val="24"/>
          <w:szCs w:val="24"/>
        </w:rPr>
        <w:t xml:space="preserve">Programm für die Porsche 911 Turbo Modelle gewinnt beim </w:t>
      </w:r>
      <w:proofErr w:type="spellStart"/>
      <w:r w:rsidR="00533A3F">
        <w:rPr>
          <w:rFonts w:ascii="Square721 BT" w:hAnsi="Square721 BT"/>
          <w:b/>
          <w:sz w:val="24"/>
          <w:szCs w:val="24"/>
        </w:rPr>
        <w:t>sport</w:t>
      </w:r>
      <w:proofErr w:type="spellEnd"/>
      <w:r w:rsidR="00533A3F"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 w:rsidR="00533A3F">
        <w:rPr>
          <w:rFonts w:ascii="Square721 BT" w:hAnsi="Square721 BT"/>
          <w:b/>
          <w:sz w:val="24"/>
          <w:szCs w:val="24"/>
        </w:rPr>
        <w:t>auto</w:t>
      </w:r>
      <w:proofErr w:type="spellEnd"/>
      <w:r w:rsidR="00533A3F">
        <w:rPr>
          <w:rFonts w:ascii="Square721 BT" w:hAnsi="Square721 BT"/>
          <w:b/>
          <w:sz w:val="24"/>
          <w:szCs w:val="24"/>
        </w:rPr>
        <w:t xml:space="preserve"> AWARD 2023 die Coupé-Wertung in der Tuning-Kategorie. </w:t>
      </w:r>
    </w:p>
    <w:p w14:paraId="21DDC02E" w14:textId="78C54C92" w:rsidR="0025567F" w:rsidRPr="009673F3" w:rsidRDefault="0025567F" w:rsidP="0025567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29B6B5A9" w14:textId="74506A85" w:rsidR="00702504" w:rsidRDefault="00E21CB9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Leonberg, </w:t>
      </w:r>
      <w:r w:rsidR="00702504">
        <w:rPr>
          <w:rFonts w:ascii="Arial" w:hAnsi="Arial"/>
          <w:color w:val="000000"/>
          <w:sz w:val="20"/>
          <w:szCs w:val="20"/>
          <w:shd w:val="clear" w:color="auto" w:fill="FFFFFF"/>
        </w:rPr>
        <w:t>16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November 2023 </w:t>
      </w:r>
      <w:r w:rsidRPr="00340F43"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0250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Leserinnen und Leser von </w:t>
      </w:r>
      <w:proofErr w:type="spellStart"/>
      <w:r w:rsidR="00702504">
        <w:rPr>
          <w:rFonts w:ascii="Arial" w:hAnsi="Arial"/>
          <w:color w:val="000000"/>
          <w:sz w:val="20"/>
          <w:szCs w:val="20"/>
          <w:shd w:val="clear" w:color="auto" w:fill="FFFFFF"/>
        </w:rPr>
        <w:t>sport</w:t>
      </w:r>
      <w:proofErr w:type="spellEnd"/>
      <w:r w:rsidR="0070250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02504">
        <w:rPr>
          <w:rFonts w:ascii="Arial" w:hAnsi="Arial"/>
          <w:color w:val="000000"/>
          <w:sz w:val="20"/>
          <w:szCs w:val="20"/>
          <w:shd w:val="clear" w:color="auto" w:fill="FFFFFF"/>
        </w:rPr>
        <w:t>auto</w:t>
      </w:r>
      <w:proofErr w:type="spellEnd"/>
      <w:r w:rsidR="0070250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haben zum 31. Mal ihre Favoriten unter den sportlichsten Autos des Jahres gewählt. </w:t>
      </w:r>
      <w:r w:rsidR="00CC0A8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der Tuning-Kategorie für Coupés auf dem Spitzenplatz: das TECHART Programm für die Porsche 911 Turbo Modelle. </w:t>
      </w:r>
    </w:p>
    <w:p w14:paraId="4F9ADDC8" w14:textId="77777777" w:rsidR="00702504" w:rsidRDefault="00702504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1AA1DD6" w14:textId="75BF4C51" w:rsidR="00CC0A8F" w:rsidRDefault="00BE44FE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vielfach prämierte </w:t>
      </w:r>
      <w:r w:rsidR="00CC0A8F">
        <w:rPr>
          <w:rFonts w:ascii="Arial" w:hAnsi="Arial"/>
          <w:color w:val="000000"/>
          <w:sz w:val="20"/>
          <w:szCs w:val="20"/>
          <w:shd w:val="clear" w:color="auto" w:fill="FFFFFF"/>
        </w:rPr>
        <w:t>TECHART Individualisierung für die Porsche 911 Turbo Modelle überzeugt die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55408">
        <w:rPr>
          <w:rFonts w:ascii="Arial" w:hAnsi="Arial"/>
          <w:color w:val="000000"/>
          <w:sz w:val="20"/>
          <w:szCs w:val="20"/>
          <w:shd w:val="clear" w:color="auto" w:fill="FFFFFF"/>
        </w:rPr>
        <w:t>p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erformancebegeisterten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auto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Leserinnen und Leser in allen Bereichen. Mit einem umfassenden Aerodynamikpaket, hochwertigen Carbon Optionen, eindrucksvollen Leistungssteigerungen bis zu 800 PS, exklusiven Leichtbau-Schmiederädern und handgefertigten Interieurs lässt TECHART Porsche 911 Turbo Besitzern keine Wünsche offen. </w:t>
      </w:r>
    </w:p>
    <w:p w14:paraId="54C0953A" w14:textId="77777777" w:rsidR="00BE44FE" w:rsidRDefault="00BE44FE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027496B" w14:textId="30515ADE" w:rsidR="00260FB0" w:rsidRPr="00260FB0" w:rsidRDefault="00BE44FE" w:rsidP="00BE44FE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bedankt sich bei allen Teilnehmern des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auto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AWARD 2023 für diese bemerkenswerte Auszeichnung. Mehr </w:t>
      </w:r>
      <w:r w:rsidRPr="00BE44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Informationen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 TECHART Veredelungen für die Porsche 911 Modelle </w:t>
      </w:r>
      <w:r w:rsidRPr="00BE44FE">
        <w:rPr>
          <w:rFonts w:ascii="Arial" w:hAnsi="Arial"/>
          <w:color w:val="000000"/>
          <w:sz w:val="20"/>
          <w:szCs w:val="20"/>
          <w:shd w:val="clear" w:color="auto" w:fill="FFFFFF"/>
        </w:rPr>
        <w:t>auf www.techart.de/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turbo</w:t>
      </w:r>
      <w:r w:rsidRPr="00BE44FE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6A178DA8" w14:textId="77777777" w:rsidR="00260FB0" w:rsidRPr="00260FB0" w:rsidRDefault="00260FB0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6A186D7" w14:textId="6FF0FCDC" w:rsidR="00B87C33" w:rsidRDefault="00B87C33" w:rsidP="00B87C33">
      <w:pPr>
        <w:jc w:val="center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5B4A82E" w14:textId="77777777" w:rsidR="00B87C33" w:rsidRDefault="00B87C3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4CA7310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F9EC0B6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41653279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6C4EC64B" w14:textId="77777777" w:rsidR="00B87C33" w:rsidRPr="00107F18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613DAE">
        <w:tc>
          <w:tcPr>
            <w:tcW w:w="5098" w:type="dxa"/>
          </w:tcPr>
          <w:p w14:paraId="4568A55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613DAE">
        <w:tc>
          <w:tcPr>
            <w:tcW w:w="5098" w:type="dxa"/>
          </w:tcPr>
          <w:p w14:paraId="6A091039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613DAE">
        <w:tc>
          <w:tcPr>
            <w:tcW w:w="5098" w:type="dxa"/>
          </w:tcPr>
          <w:p w14:paraId="7793D13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613DAE">
        <w:tc>
          <w:tcPr>
            <w:tcW w:w="5098" w:type="dxa"/>
          </w:tcPr>
          <w:p w14:paraId="216D99F7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F97793">
      <w:headerReference w:type="default" r:id="rId9"/>
      <w:footerReference w:type="default" r:id="rId10"/>
      <w:pgSz w:w="11906" w:h="16838"/>
      <w:pgMar w:top="368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A02D" w14:textId="77777777" w:rsidR="005407D9" w:rsidRDefault="005407D9">
      <w:r>
        <w:separator/>
      </w:r>
    </w:p>
  </w:endnote>
  <w:endnote w:type="continuationSeparator" w:id="0">
    <w:p w14:paraId="26A61853" w14:textId="77777777" w:rsidR="005407D9" w:rsidRDefault="005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6131B192" w:rsidR="008B5E1B" w:rsidRPr="00246E4A" w:rsidRDefault="008B5E1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0240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0240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2359" w14:textId="77777777" w:rsidR="005407D9" w:rsidRDefault="005407D9">
      <w:r>
        <w:separator/>
      </w:r>
    </w:p>
  </w:footnote>
  <w:footnote w:type="continuationSeparator" w:id="0">
    <w:p w14:paraId="66C56738" w14:textId="77777777" w:rsidR="005407D9" w:rsidRDefault="0054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8D8D" w14:textId="49E1FF9C" w:rsidR="008B5E1B" w:rsidRDefault="008B5E1B" w:rsidP="00897646">
    <w:pPr>
      <w:pStyle w:val="Kopfzeile"/>
      <w:jc w:val="center"/>
    </w:pPr>
  </w:p>
  <w:p w14:paraId="3BAD3F00" w14:textId="0DAC0D94" w:rsidR="008B5E1B" w:rsidRDefault="008B5E1B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338105253" name="Grafik 1338105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8B5E1B" w:rsidRDefault="008B5E1B" w:rsidP="00897646">
    <w:pPr>
      <w:pStyle w:val="Kopfzeile"/>
      <w:jc w:val="center"/>
    </w:pPr>
  </w:p>
  <w:p w14:paraId="5C80F1A6" w14:textId="77777777" w:rsidR="008B5E1B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8B5E1B" w:rsidRPr="00D62961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8B5E1B" w:rsidRPr="00D62961" w:rsidRDefault="008B5E1B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5953"/>
    <w:multiLevelType w:val="hybridMultilevel"/>
    <w:tmpl w:val="316A1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36536">
    <w:abstractNumId w:val="2"/>
  </w:num>
  <w:num w:numId="2" w16cid:durableId="1782987849">
    <w:abstractNumId w:val="3"/>
  </w:num>
  <w:num w:numId="3" w16cid:durableId="990600602">
    <w:abstractNumId w:val="1"/>
  </w:num>
  <w:num w:numId="4" w16cid:durableId="800726835">
    <w:abstractNumId w:val="4"/>
  </w:num>
  <w:num w:numId="5" w16cid:durableId="365298370">
    <w:abstractNumId w:val="5"/>
  </w:num>
  <w:num w:numId="6" w16cid:durableId="1600135935">
    <w:abstractNumId w:val="6"/>
  </w:num>
  <w:num w:numId="7" w16cid:durableId="1670058073">
    <w:abstractNumId w:val="8"/>
  </w:num>
  <w:num w:numId="8" w16cid:durableId="1351837402">
    <w:abstractNumId w:val="0"/>
  </w:num>
  <w:num w:numId="9" w16cid:durableId="1985968834">
    <w:abstractNumId w:val="7"/>
  </w:num>
  <w:num w:numId="10" w16cid:durableId="1100493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401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1CD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0E2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5AF8"/>
    <w:rsid w:val="000C6C06"/>
    <w:rsid w:val="000C790C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033C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6EE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3D35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0E3"/>
    <w:rsid w:val="001E7A0A"/>
    <w:rsid w:val="001E7D0E"/>
    <w:rsid w:val="001F0847"/>
    <w:rsid w:val="001F0E1F"/>
    <w:rsid w:val="001F19AE"/>
    <w:rsid w:val="001F21BA"/>
    <w:rsid w:val="001F23FC"/>
    <w:rsid w:val="001F2622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517A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567F"/>
    <w:rsid w:val="00256993"/>
    <w:rsid w:val="00257627"/>
    <w:rsid w:val="00260255"/>
    <w:rsid w:val="00260E4D"/>
    <w:rsid w:val="00260FB0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C4E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690B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1769D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0F43"/>
    <w:rsid w:val="00341369"/>
    <w:rsid w:val="00341A9E"/>
    <w:rsid w:val="00342DE2"/>
    <w:rsid w:val="00343765"/>
    <w:rsid w:val="00345597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B92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4621"/>
    <w:rsid w:val="00445A8A"/>
    <w:rsid w:val="00451146"/>
    <w:rsid w:val="004514F0"/>
    <w:rsid w:val="00451C47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11AC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431A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0FD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3A3F"/>
    <w:rsid w:val="00534BD4"/>
    <w:rsid w:val="00535051"/>
    <w:rsid w:val="00535B72"/>
    <w:rsid w:val="005407D9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46B9"/>
    <w:rsid w:val="005D70C4"/>
    <w:rsid w:val="005D7503"/>
    <w:rsid w:val="005D7A99"/>
    <w:rsid w:val="005E2541"/>
    <w:rsid w:val="005E31F6"/>
    <w:rsid w:val="005E357E"/>
    <w:rsid w:val="005E3F51"/>
    <w:rsid w:val="005E5270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8AF"/>
    <w:rsid w:val="00643C95"/>
    <w:rsid w:val="00643F03"/>
    <w:rsid w:val="00644B03"/>
    <w:rsid w:val="00645E63"/>
    <w:rsid w:val="00646A87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3BCF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504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408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5BC"/>
    <w:rsid w:val="007A3E3B"/>
    <w:rsid w:val="007A3EB5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A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7F734A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33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134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2D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2E8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2540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42F0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09A"/>
    <w:rsid w:val="009D21C4"/>
    <w:rsid w:val="009D3431"/>
    <w:rsid w:val="009D3D99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604E"/>
    <w:rsid w:val="009F7438"/>
    <w:rsid w:val="00A00AEC"/>
    <w:rsid w:val="00A016D3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24B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4D07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1B4"/>
    <w:rsid w:val="00A72733"/>
    <w:rsid w:val="00A74681"/>
    <w:rsid w:val="00A74A82"/>
    <w:rsid w:val="00A758EC"/>
    <w:rsid w:val="00A7725B"/>
    <w:rsid w:val="00A77B0B"/>
    <w:rsid w:val="00A81E32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2A69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4EAC"/>
    <w:rsid w:val="00AF57EE"/>
    <w:rsid w:val="00AF5FD8"/>
    <w:rsid w:val="00AF6A6F"/>
    <w:rsid w:val="00AF7820"/>
    <w:rsid w:val="00AF7B0E"/>
    <w:rsid w:val="00B0547A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3A96"/>
    <w:rsid w:val="00B8476E"/>
    <w:rsid w:val="00B84B89"/>
    <w:rsid w:val="00B862BF"/>
    <w:rsid w:val="00B8790B"/>
    <w:rsid w:val="00B87C33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26BF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4FE"/>
    <w:rsid w:val="00BE4BF1"/>
    <w:rsid w:val="00BE634A"/>
    <w:rsid w:val="00BE7377"/>
    <w:rsid w:val="00BF140C"/>
    <w:rsid w:val="00BF436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3B8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571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0A8F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26E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46F9"/>
    <w:rsid w:val="00D35464"/>
    <w:rsid w:val="00D354AE"/>
    <w:rsid w:val="00D367A4"/>
    <w:rsid w:val="00D41529"/>
    <w:rsid w:val="00D43CDE"/>
    <w:rsid w:val="00D44F4A"/>
    <w:rsid w:val="00D45142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6B"/>
    <w:rsid w:val="00D65C7F"/>
    <w:rsid w:val="00D65E80"/>
    <w:rsid w:val="00D67BEE"/>
    <w:rsid w:val="00D70C1D"/>
    <w:rsid w:val="00D71C17"/>
    <w:rsid w:val="00D73374"/>
    <w:rsid w:val="00D740C8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1B7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1737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0F79"/>
    <w:rsid w:val="00E21CB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934"/>
    <w:rsid w:val="00EF3A32"/>
    <w:rsid w:val="00EF4518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1C15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5F74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5D74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6BE3"/>
    <w:rsid w:val="00F779AF"/>
    <w:rsid w:val="00F80D51"/>
    <w:rsid w:val="00F8259E"/>
    <w:rsid w:val="00F82A59"/>
    <w:rsid w:val="00F82AEC"/>
    <w:rsid w:val="00F83BFE"/>
    <w:rsid w:val="00F856C5"/>
    <w:rsid w:val="00F862F4"/>
    <w:rsid w:val="00F87E36"/>
    <w:rsid w:val="00F90788"/>
    <w:rsid w:val="00F91A50"/>
    <w:rsid w:val="00F92A93"/>
    <w:rsid w:val="00F938F0"/>
    <w:rsid w:val="00F93FAF"/>
    <w:rsid w:val="00F961F9"/>
    <w:rsid w:val="00F96C41"/>
    <w:rsid w:val="00F97793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1211"/>
    <w:rsid w:val="00FF1D24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E2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C482-12C9-4F24-A7DA-742ED21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2382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3</cp:revision>
  <cp:lastPrinted>2023-11-16T13:15:00Z</cp:lastPrinted>
  <dcterms:created xsi:type="dcterms:W3CDTF">2023-11-16T13:15:00Z</dcterms:created>
  <dcterms:modified xsi:type="dcterms:W3CDTF">2023-11-16T13:16:00Z</dcterms:modified>
</cp:coreProperties>
</file>