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8562" w14:textId="510E11B0" w:rsidR="0025567F" w:rsidRPr="009673F3" w:rsidRDefault="00A3471F" w:rsidP="0025567F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>Neuer TECHART</w:t>
      </w:r>
      <w:r w:rsidR="0025567F" w:rsidRPr="009673F3">
        <w:rPr>
          <w:rFonts w:ascii="Square721 BT" w:hAnsi="Square721 BT"/>
          <w:b/>
          <w:sz w:val="32"/>
          <w:szCs w:val="32"/>
        </w:rPr>
        <w:t xml:space="preserve"> Carbon</w:t>
      </w:r>
      <w:r>
        <w:rPr>
          <w:rFonts w:ascii="Square721 BT" w:hAnsi="Square721 BT"/>
          <w:b/>
          <w:sz w:val="32"/>
          <w:szCs w:val="32"/>
        </w:rPr>
        <w:t xml:space="preserve"> </w:t>
      </w:r>
      <w:r w:rsidR="0025567F" w:rsidRPr="009673F3">
        <w:rPr>
          <w:rFonts w:ascii="Square721 BT" w:hAnsi="Square721 BT"/>
          <w:b/>
          <w:sz w:val="32"/>
          <w:szCs w:val="32"/>
        </w:rPr>
        <w:t>Heckspoiler</w:t>
      </w:r>
      <w:r w:rsidR="00A81E32">
        <w:rPr>
          <w:rFonts w:ascii="Square721 BT" w:hAnsi="Square721 BT"/>
          <w:b/>
          <w:sz w:val="32"/>
          <w:szCs w:val="32"/>
        </w:rPr>
        <w:t xml:space="preserve"> </w:t>
      </w:r>
      <w:r w:rsidR="0025567F" w:rsidRPr="009673F3">
        <w:rPr>
          <w:rFonts w:ascii="Square721 BT" w:hAnsi="Square721 BT"/>
          <w:b/>
          <w:sz w:val="32"/>
          <w:szCs w:val="32"/>
        </w:rPr>
        <w:t>für Porsche</w:t>
      </w:r>
      <w:r>
        <w:rPr>
          <w:rFonts w:ascii="Square721 BT" w:hAnsi="Square721 BT"/>
          <w:b/>
          <w:sz w:val="32"/>
          <w:szCs w:val="32"/>
        </w:rPr>
        <w:br/>
      </w:r>
      <w:r w:rsidR="0025567F" w:rsidRPr="009673F3">
        <w:rPr>
          <w:rFonts w:ascii="Square721 BT" w:hAnsi="Square721 BT"/>
          <w:b/>
          <w:sz w:val="32"/>
          <w:szCs w:val="32"/>
        </w:rPr>
        <w:t>911</w:t>
      </w:r>
      <w:r>
        <w:rPr>
          <w:rFonts w:ascii="Square721 BT" w:hAnsi="Square721 BT"/>
          <w:b/>
          <w:sz w:val="32"/>
          <w:szCs w:val="32"/>
        </w:rPr>
        <w:t xml:space="preserve"> Carrera </w:t>
      </w:r>
      <w:r>
        <w:rPr>
          <w:rFonts w:ascii="Square721 BT" w:hAnsi="Square721 BT"/>
          <w:b/>
          <w:sz w:val="32"/>
          <w:szCs w:val="32"/>
        </w:rPr>
        <w:t>Modelle</w:t>
      </w:r>
      <w:r>
        <w:rPr>
          <w:rFonts w:ascii="Square721 BT" w:hAnsi="Square721 BT"/>
          <w:b/>
          <w:sz w:val="32"/>
          <w:szCs w:val="32"/>
        </w:rPr>
        <w:t xml:space="preserve"> und für den 911 GT3 Touring.</w:t>
      </w:r>
    </w:p>
    <w:p w14:paraId="2903BF51" w14:textId="77777777" w:rsidR="0025567F" w:rsidRPr="009673F3" w:rsidRDefault="0025567F" w:rsidP="0025567F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</w:p>
    <w:p w14:paraId="0FCF618B" w14:textId="0FC2733A" w:rsidR="0025567F" w:rsidRDefault="009F604E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t>Leonberg</w:t>
      </w:r>
      <w:r w:rsidR="00A3471F">
        <w:rPr>
          <w:rFonts w:ascii="Square721 BT" w:hAnsi="Square721 BT"/>
          <w:b/>
          <w:sz w:val="24"/>
          <w:szCs w:val="24"/>
        </w:rPr>
        <w:t>, 6. Oktober 2023</w:t>
      </w:r>
      <w:r>
        <w:rPr>
          <w:rFonts w:ascii="Square721 BT" w:hAnsi="Square721 BT"/>
          <w:b/>
          <w:sz w:val="24"/>
          <w:szCs w:val="24"/>
        </w:rPr>
        <w:t xml:space="preserve"> – </w:t>
      </w:r>
      <w:r w:rsidR="0025567F">
        <w:rPr>
          <w:rFonts w:ascii="Square721 BT" w:hAnsi="Square721 BT"/>
          <w:b/>
          <w:sz w:val="24"/>
          <w:szCs w:val="24"/>
        </w:rPr>
        <w:t>Zeitlos</w:t>
      </w:r>
      <w:r w:rsidR="00A1724B">
        <w:rPr>
          <w:rFonts w:ascii="Square721 BT" w:hAnsi="Square721 BT"/>
          <w:b/>
          <w:sz w:val="24"/>
          <w:szCs w:val="24"/>
        </w:rPr>
        <w:t>es</w:t>
      </w:r>
      <w:r w:rsidR="0025567F">
        <w:rPr>
          <w:rFonts w:ascii="Square721 BT" w:hAnsi="Square721 BT"/>
          <w:b/>
          <w:sz w:val="24"/>
          <w:szCs w:val="24"/>
        </w:rPr>
        <w:t>, sportliches Design aus dem Rennsport inspiriert</w:t>
      </w:r>
      <w:r w:rsidR="0025567F" w:rsidRPr="009673F3">
        <w:rPr>
          <w:rFonts w:ascii="Square721 BT" w:hAnsi="Square721 BT"/>
          <w:b/>
          <w:sz w:val="24"/>
          <w:szCs w:val="24"/>
        </w:rPr>
        <w:t xml:space="preserve">: </w:t>
      </w:r>
      <w:r w:rsidR="00A3471F">
        <w:rPr>
          <w:rFonts w:ascii="Square721 BT" w:hAnsi="Square721 BT"/>
          <w:b/>
          <w:sz w:val="24"/>
          <w:szCs w:val="24"/>
        </w:rPr>
        <w:t xml:space="preserve">Individualisierungs-Spezialist </w:t>
      </w:r>
      <w:r w:rsidR="0025567F" w:rsidRPr="009673F3">
        <w:rPr>
          <w:rFonts w:ascii="Square721 BT" w:hAnsi="Square721 BT"/>
          <w:b/>
          <w:sz w:val="24"/>
          <w:szCs w:val="24"/>
        </w:rPr>
        <w:t>TECH</w:t>
      </w:r>
      <w:r w:rsidR="0025567F">
        <w:rPr>
          <w:rFonts w:ascii="Square721 BT" w:hAnsi="Square721 BT"/>
          <w:b/>
          <w:sz w:val="24"/>
          <w:szCs w:val="24"/>
        </w:rPr>
        <w:t xml:space="preserve">ART </w:t>
      </w:r>
      <w:r w:rsidR="00A3471F">
        <w:rPr>
          <w:rFonts w:ascii="Square721 BT" w:hAnsi="Square721 BT"/>
          <w:b/>
          <w:sz w:val="24"/>
          <w:szCs w:val="24"/>
        </w:rPr>
        <w:t xml:space="preserve">präsentiert den neuen </w:t>
      </w:r>
      <w:r w:rsidR="0025567F">
        <w:rPr>
          <w:rFonts w:ascii="Square721 BT" w:hAnsi="Square721 BT"/>
          <w:b/>
          <w:sz w:val="24"/>
          <w:szCs w:val="24"/>
        </w:rPr>
        <w:t>Heckspoiler III</w:t>
      </w:r>
      <w:r w:rsidR="00A3471F">
        <w:rPr>
          <w:rFonts w:ascii="Square721 BT" w:hAnsi="Square721 BT"/>
          <w:b/>
          <w:sz w:val="24"/>
          <w:szCs w:val="24"/>
        </w:rPr>
        <w:t xml:space="preserve"> aus </w:t>
      </w:r>
      <w:r w:rsidR="0025567F">
        <w:rPr>
          <w:rFonts w:ascii="Square721 BT" w:hAnsi="Square721 BT"/>
          <w:b/>
          <w:sz w:val="24"/>
          <w:szCs w:val="24"/>
        </w:rPr>
        <w:t>Carbon</w:t>
      </w:r>
      <w:r w:rsidR="00A3471F">
        <w:rPr>
          <w:rFonts w:ascii="Square721 BT" w:hAnsi="Square721 BT"/>
          <w:b/>
          <w:sz w:val="24"/>
          <w:szCs w:val="24"/>
        </w:rPr>
        <w:t>.</w:t>
      </w:r>
      <w:r w:rsidR="0025567F">
        <w:rPr>
          <w:rFonts w:ascii="Square721 BT" w:hAnsi="Square721 BT"/>
          <w:b/>
          <w:sz w:val="24"/>
          <w:szCs w:val="24"/>
        </w:rPr>
        <w:t xml:space="preserve"> </w:t>
      </w:r>
      <w:r w:rsidR="00A3471F">
        <w:rPr>
          <w:rFonts w:ascii="Square721 BT" w:hAnsi="Square721 BT"/>
          <w:b/>
          <w:sz w:val="24"/>
          <w:szCs w:val="24"/>
        </w:rPr>
        <w:t>A</w:t>
      </w:r>
      <w:r w:rsidR="0025567F" w:rsidRPr="009673F3">
        <w:rPr>
          <w:rFonts w:ascii="Square721 BT" w:hAnsi="Square721 BT"/>
          <w:b/>
          <w:sz w:val="24"/>
          <w:szCs w:val="24"/>
        </w:rPr>
        <w:t xml:space="preserve">b sofort </w:t>
      </w:r>
      <w:r w:rsidR="00A3471F">
        <w:rPr>
          <w:rFonts w:ascii="Square721 BT" w:hAnsi="Square721 BT"/>
          <w:b/>
          <w:sz w:val="24"/>
          <w:szCs w:val="24"/>
        </w:rPr>
        <w:t xml:space="preserve">erhältlich </w:t>
      </w:r>
      <w:r w:rsidR="0025567F" w:rsidRPr="009673F3">
        <w:rPr>
          <w:rFonts w:ascii="Square721 BT" w:hAnsi="Square721 BT"/>
          <w:b/>
          <w:sz w:val="24"/>
          <w:szCs w:val="24"/>
        </w:rPr>
        <w:t xml:space="preserve">für </w:t>
      </w:r>
      <w:r w:rsidR="00A3471F">
        <w:rPr>
          <w:rFonts w:ascii="Square721 BT" w:hAnsi="Square721 BT"/>
          <w:b/>
          <w:sz w:val="24"/>
          <w:szCs w:val="24"/>
        </w:rPr>
        <w:t>alle</w:t>
      </w:r>
      <w:r w:rsidR="0025567F" w:rsidRPr="009673F3">
        <w:rPr>
          <w:rFonts w:ascii="Square721 BT" w:hAnsi="Square721 BT"/>
          <w:b/>
          <w:sz w:val="24"/>
          <w:szCs w:val="24"/>
        </w:rPr>
        <w:t xml:space="preserve"> Porsche 911 Carrera Coup</w:t>
      </w:r>
      <w:r w:rsidR="0025567F">
        <w:rPr>
          <w:rFonts w:ascii="Square721 BT" w:hAnsi="Square721 BT"/>
          <w:b/>
          <w:sz w:val="24"/>
          <w:szCs w:val="24"/>
        </w:rPr>
        <w:t>é</w:t>
      </w:r>
      <w:r w:rsidR="0025567F" w:rsidRPr="009673F3">
        <w:rPr>
          <w:rFonts w:ascii="Square721 BT" w:hAnsi="Square721 BT"/>
          <w:b/>
          <w:sz w:val="24"/>
          <w:szCs w:val="24"/>
        </w:rPr>
        <w:t xml:space="preserve"> Modelle und den 911 GT3 Touring.</w:t>
      </w:r>
    </w:p>
    <w:p w14:paraId="21DDC02E" w14:textId="77777777" w:rsidR="0025567F" w:rsidRPr="009673F3" w:rsidRDefault="0025567F" w:rsidP="0025567F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</w:p>
    <w:p w14:paraId="53225E68" w14:textId="40A17517" w:rsidR="0025567F" w:rsidRPr="0025567F" w:rsidRDefault="00FF1211" w:rsidP="0025567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TECHART präsentiert einen neuen Leichtbau-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Heckspoiler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die 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Coupés der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Porsche 911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Carrera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Modelle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GT3 Touring. Der neue TECHART Heckspoiler III </w:t>
      </w:r>
      <w:r w:rsidR="00D951B7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erweitert die aerodynamischen TECHART Optionen für die 992 Generation. Er wird vollständig aus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Kohlefa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ser </w:t>
      </w:r>
      <w:r w:rsidR="00D951B7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gefertigt und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ist ab sofort erhältlich.</w:t>
      </w:r>
    </w:p>
    <w:p w14:paraId="688C9060" w14:textId="77777777" w:rsidR="0025567F" w:rsidRPr="0025567F" w:rsidRDefault="0025567F" w:rsidP="0025567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1581AA2" w14:textId="1906D71E" w:rsidR="00FF1211" w:rsidRPr="009D3D99" w:rsidRDefault="00FF1211" w:rsidP="00FF1211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</w:t>
      </w:r>
      <w:r w:rsidR="00520D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zweiteilige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Heckflügel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3471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besteht aus 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einem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lackierfähigen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Carbon-Grundkörper und einer Carbon-Spoilerlippe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>. I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>m Vergleich zum Serienheckspoiler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spart der neue </w:t>
      </w:r>
      <w:r w:rsidR="00520D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feststehende 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Heckspoiler III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ein Drittel an Gewicht ein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Die charakteristische Spoilerlippe kann in </w:t>
      </w:r>
      <w:r w:rsidR="00A81E32"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>l</w:t>
      </w:r>
      <w:r w:rsidR="00A81E32"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>änzen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>dem</w:t>
      </w:r>
      <w:r w:rsidR="00A81E32"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oder matt</w:t>
      </w:r>
      <w:r w:rsidR="00A81E32">
        <w:rPr>
          <w:rFonts w:ascii="Arial" w:hAnsi="Arial"/>
          <w:color w:val="000000"/>
          <w:sz w:val="20"/>
          <w:szCs w:val="20"/>
          <w:shd w:val="clear" w:color="auto" w:fill="FFFFFF"/>
        </w:rPr>
        <w:t>em</w:t>
      </w:r>
      <w:r w:rsidR="00A81E32"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>Sichtcarbon individue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ll auf das Fahrzeug abgestimmt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oder </w:t>
      </w:r>
      <w:r w:rsidR="00520D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auch </w:t>
      </w:r>
      <w:r w:rsidRPr="009D3D99">
        <w:rPr>
          <w:rFonts w:ascii="Arial" w:hAnsi="Arial"/>
          <w:color w:val="000000"/>
          <w:sz w:val="20"/>
          <w:szCs w:val="20"/>
          <w:shd w:val="clear" w:color="auto" w:fill="FFFFFF"/>
        </w:rPr>
        <w:t>in Wunschfarbe lackiert werden.</w:t>
      </w:r>
    </w:p>
    <w:p w14:paraId="73962D79" w14:textId="77777777" w:rsidR="00FF1211" w:rsidRDefault="00FF1211" w:rsidP="0025567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6E7049B" w14:textId="17E26FCB" w:rsidR="0025567F" w:rsidRPr="0011033C" w:rsidRDefault="00D951B7" w:rsidP="0025567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Mit Hilfe a</w:t>
      </w:r>
      <w:r w:rsidR="0011033C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erodynamische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11033C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Strömungssimulationen im Rahmen </w:t>
      </w:r>
      <w:r w:rsidR="00FF1211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de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FF1211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Design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e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ntwicklung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wurden</w:t>
      </w:r>
      <w:r w:rsidR="00520D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neben der aerodynamischen Optimierung auch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neue integrierte Luftführungen konstruiert. Damit stellt der neue Heckspoiler eine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verbesserte </w:t>
      </w:r>
      <w:r w:rsidR="0011033C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Kühlleistung des Sechszylinder-Boxermotors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11033C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sicher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 </w:t>
      </w:r>
      <w:r w:rsidR="00FF1211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sorgt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gleichzeitig </w:t>
      </w:r>
      <w:r w:rsidR="00FF1211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für hohen Abtrieb in allen Fahrmodi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F1211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für </w:t>
      </w:r>
      <w:r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ausgewogene aerodynamische Balance, auch 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bei </w:t>
      </w:r>
      <w:r w:rsidR="0011033C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>hohen</w:t>
      </w:r>
      <w:r w:rsidR="0025567F" w:rsidRPr="0055717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Geschwindigkeiten.</w:t>
      </w:r>
    </w:p>
    <w:p w14:paraId="00344EC7" w14:textId="59DCF7E9" w:rsidR="00345597" w:rsidRDefault="00345597" w:rsidP="0025567F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8DC1E77" w14:textId="1C070D67" w:rsidR="00345597" w:rsidRDefault="00345597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45597">
        <w:rPr>
          <w:rFonts w:ascii="Arial" w:hAnsi="Arial"/>
          <w:color w:val="000000"/>
          <w:sz w:val="20"/>
          <w:szCs w:val="20"/>
          <w:shd w:val="clear" w:color="auto" w:fill="FFFFFF"/>
        </w:rPr>
        <w:t>Unter www.techart.de/</w:t>
      </w:r>
      <w:r w:rsidR="00FF1211">
        <w:rPr>
          <w:rFonts w:ascii="Arial" w:hAnsi="Arial"/>
          <w:color w:val="000000"/>
          <w:sz w:val="20"/>
          <w:szCs w:val="20"/>
          <w:shd w:val="clear" w:color="auto" w:fill="FFFFFF"/>
        </w:rPr>
        <w:t>992</w:t>
      </w:r>
      <w:r w:rsidRPr="0034559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können Porsche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Besitzer</w:t>
      </w:r>
      <w:r w:rsidR="00BF43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Enthusiasten</w:t>
      </w:r>
      <w:r w:rsidRPr="0034559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vollständige TECHART Individualisierungsprogramm </w:t>
      </w:r>
      <w:r w:rsidR="00BF43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die Porsche 911 Modelle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kennenlernen.</w:t>
      </w:r>
    </w:p>
    <w:p w14:paraId="7FE72FB3" w14:textId="3A53A105" w:rsidR="00BF436C" w:rsidRDefault="00BF436C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55501AD" w14:textId="4246F1F7" w:rsidR="00BF436C" w:rsidRDefault="00BF436C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6BD7237" w14:textId="12276692" w:rsidR="00BF436C" w:rsidRDefault="00BF436C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C96AF7B" w14:textId="77777777" w:rsidR="00BF436C" w:rsidRPr="00345597" w:rsidRDefault="00BF436C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2E6FD8C" w14:textId="77777777" w:rsidR="0025567F" w:rsidRPr="00345597" w:rsidRDefault="0025567F" w:rsidP="00345597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F7CA6EC" w14:textId="77777777" w:rsidR="00557173" w:rsidRDefault="00557173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1B289010" w14:textId="77777777" w:rsidR="00557173" w:rsidRDefault="00557173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A6989B7" w14:textId="77777777" w:rsidR="00557173" w:rsidRDefault="00557173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15AD3243" w14:textId="77777777" w:rsidR="00557173" w:rsidRDefault="00557173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A9EC943" w14:textId="74CA7310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Von Aerodynamik und Exterieurdesign über technische Optimierung in sämtlichen Fahrzeugbereichen bis hin zur Interieurveredelung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alle Porsche Baureihen und Modelle ab. TECHART verfügt über die Zulassung als international eingetragener Fahrzeughersteller, ist als Authorised Economic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Röntgenstrasse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F97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9F1E" w14:textId="77777777" w:rsidR="008B5E1B" w:rsidRDefault="008B5E1B">
      <w:r>
        <w:separator/>
      </w:r>
    </w:p>
  </w:endnote>
  <w:endnote w:type="continuationSeparator" w:id="0">
    <w:p w14:paraId="2FF8BD6C" w14:textId="77777777" w:rsidR="008B5E1B" w:rsidRDefault="008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D3DF" w14:textId="77777777" w:rsidR="00B0547A" w:rsidRDefault="00B05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E895" w14:textId="26030575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5717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557173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D0B3F" w14:textId="77777777" w:rsidR="00B0547A" w:rsidRDefault="00B05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5606" w14:textId="77777777" w:rsidR="008B5E1B" w:rsidRDefault="008B5E1B">
      <w:r>
        <w:separator/>
      </w:r>
    </w:p>
  </w:footnote>
  <w:footnote w:type="continuationSeparator" w:id="0">
    <w:p w14:paraId="20E653DF" w14:textId="77777777" w:rsidR="008B5E1B" w:rsidRDefault="008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D355" w14:textId="77777777" w:rsidR="00B0547A" w:rsidRDefault="00B05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338105253" name="Grafik 1338105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C1E4" w14:textId="77777777" w:rsidR="00B0547A" w:rsidRDefault="00B05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2173270">
    <w:abstractNumId w:val="2"/>
  </w:num>
  <w:num w:numId="2" w16cid:durableId="1066029623">
    <w:abstractNumId w:val="3"/>
  </w:num>
  <w:num w:numId="3" w16cid:durableId="1144469366">
    <w:abstractNumId w:val="1"/>
  </w:num>
  <w:num w:numId="4" w16cid:durableId="639118102">
    <w:abstractNumId w:val="4"/>
  </w:num>
  <w:num w:numId="5" w16cid:durableId="295724603">
    <w:abstractNumId w:val="5"/>
  </w:num>
  <w:num w:numId="6" w16cid:durableId="1698461784">
    <w:abstractNumId w:val="6"/>
  </w:num>
  <w:num w:numId="7" w16cid:durableId="1514372980">
    <w:abstractNumId w:val="8"/>
  </w:num>
  <w:num w:numId="8" w16cid:durableId="1781994769">
    <w:abstractNumId w:val="0"/>
  </w:num>
  <w:num w:numId="9" w16cid:durableId="1953398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1CD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0E2"/>
    <w:rsid w:val="00076B64"/>
    <w:rsid w:val="00077163"/>
    <w:rsid w:val="0008359E"/>
    <w:rsid w:val="000835E5"/>
    <w:rsid w:val="00084DE2"/>
    <w:rsid w:val="0008509A"/>
    <w:rsid w:val="00085D2F"/>
    <w:rsid w:val="000860E8"/>
    <w:rsid w:val="00087AE5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6C06"/>
    <w:rsid w:val="000C790C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033C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6EE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0E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517A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567F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C4E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690B"/>
    <w:rsid w:val="002C1798"/>
    <w:rsid w:val="002C1A5B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566F"/>
    <w:rsid w:val="002E7F09"/>
    <w:rsid w:val="002F1583"/>
    <w:rsid w:val="002F2114"/>
    <w:rsid w:val="002F3F7C"/>
    <w:rsid w:val="002F4AC3"/>
    <w:rsid w:val="002F5B04"/>
    <w:rsid w:val="002F61F7"/>
    <w:rsid w:val="002F6EB1"/>
    <w:rsid w:val="002F722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1769D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1369"/>
    <w:rsid w:val="00341A9E"/>
    <w:rsid w:val="00342DE2"/>
    <w:rsid w:val="00343765"/>
    <w:rsid w:val="00345597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1B5D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B92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4621"/>
    <w:rsid w:val="00445A8A"/>
    <w:rsid w:val="00451146"/>
    <w:rsid w:val="004514F0"/>
    <w:rsid w:val="00451C47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11AC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431A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D45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46B9"/>
    <w:rsid w:val="005D70C4"/>
    <w:rsid w:val="005D7503"/>
    <w:rsid w:val="005D7A99"/>
    <w:rsid w:val="005E2541"/>
    <w:rsid w:val="005E31F6"/>
    <w:rsid w:val="005E357E"/>
    <w:rsid w:val="005E3F51"/>
    <w:rsid w:val="005E5270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8AF"/>
    <w:rsid w:val="00643C95"/>
    <w:rsid w:val="00643F03"/>
    <w:rsid w:val="00644B03"/>
    <w:rsid w:val="00645E63"/>
    <w:rsid w:val="00646A87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4F3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1A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2A1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33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134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4721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2D0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2E8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42F0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09A"/>
    <w:rsid w:val="009D21C4"/>
    <w:rsid w:val="009D3431"/>
    <w:rsid w:val="009D3D99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604E"/>
    <w:rsid w:val="009F7438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24B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71F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4D07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1B4"/>
    <w:rsid w:val="00A72733"/>
    <w:rsid w:val="00A74681"/>
    <w:rsid w:val="00A74A82"/>
    <w:rsid w:val="00A758EC"/>
    <w:rsid w:val="00A7725B"/>
    <w:rsid w:val="00A77B0B"/>
    <w:rsid w:val="00A81E32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2A69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4EAC"/>
    <w:rsid w:val="00AF57EE"/>
    <w:rsid w:val="00AF5FD8"/>
    <w:rsid w:val="00AF6A6F"/>
    <w:rsid w:val="00AF7820"/>
    <w:rsid w:val="00AF7B0E"/>
    <w:rsid w:val="00B0547A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36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3B8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571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26E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A69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46F9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2F3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1B7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934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5F74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5D74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6BE3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8F0"/>
    <w:rsid w:val="00F93FAF"/>
    <w:rsid w:val="00F961F9"/>
    <w:rsid w:val="00F96C41"/>
    <w:rsid w:val="00F97793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1211"/>
    <w:rsid w:val="00FF1D24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DF37-4111-4040-9F0D-5F376783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2851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Marc Herdtle</cp:lastModifiedBy>
  <cp:revision>2</cp:revision>
  <cp:lastPrinted>2020-12-16T15:07:00Z</cp:lastPrinted>
  <dcterms:created xsi:type="dcterms:W3CDTF">2023-10-06T10:40:00Z</dcterms:created>
  <dcterms:modified xsi:type="dcterms:W3CDTF">2023-10-06T10:40:00Z</dcterms:modified>
</cp:coreProperties>
</file>